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E29" w:rsidRDefault="00740E29" w:rsidP="0034063B">
      <w:pPr>
        <w:jc w:val="center"/>
        <w:rPr>
          <w:rFonts w:ascii="Times New Roman" w:hAnsi="Times New Roman" w:cs="Times New Roman"/>
          <w:b/>
          <w:sz w:val="24"/>
          <w:szCs w:val="24"/>
        </w:rPr>
        <w:sectPr w:rsidR="00740E29" w:rsidSect="00740E29">
          <w:headerReference w:type="default" r:id="rId8"/>
          <w:footerReference w:type="default" r:id="rId9"/>
          <w:pgSz w:w="9979" w:h="14175" w:code="34"/>
          <w:pgMar w:top="1418" w:right="1418" w:bottom="1418" w:left="1418" w:header="567" w:footer="964" w:gutter="0"/>
          <w:cols w:space="708"/>
          <w:titlePg/>
          <w:docGrid w:linePitch="360"/>
        </w:sectPr>
      </w:pPr>
      <w:r>
        <w:rPr>
          <w:rFonts w:ascii="Times New Roman" w:hAnsi="Times New Roman" w:cs="Times New Roman"/>
          <w:b/>
          <w:noProof/>
          <w:sz w:val="24"/>
          <w:szCs w:val="24"/>
          <w:lang w:val="hu-HU" w:eastAsia="hu-HU"/>
          <w14:ligatures w14:val="none"/>
        </w:rPr>
        <w:drawing>
          <wp:anchor distT="0" distB="0" distL="114300" distR="114300" simplePos="0" relativeHeight="251660288" behindDoc="1" locked="0" layoutInCell="1" allowOverlap="1">
            <wp:simplePos x="0" y="0"/>
            <wp:positionH relativeFrom="column">
              <wp:posOffset>-900430</wp:posOffset>
            </wp:positionH>
            <wp:positionV relativeFrom="paragraph">
              <wp:posOffset>-318135</wp:posOffset>
            </wp:positionV>
            <wp:extent cx="6340475" cy="10117455"/>
            <wp:effectExtent l="0" t="0" r="3175" b="0"/>
            <wp:wrapTight wrapText="bothSides">
              <wp:wrapPolygon edited="0">
                <wp:start x="0" y="0"/>
                <wp:lineTo x="0" y="21555"/>
                <wp:lineTo x="21546" y="21555"/>
                <wp:lineTo x="21546" y="0"/>
                <wp:lineTo x="0" y="0"/>
              </wp:wrapPolygon>
            </wp:wrapTight>
            <wp:docPr id="4" name="Kép 4" descr="C:\Users\user\Downloads\Abstract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Abstracts-1-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0475" cy="1011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63B" w:rsidRDefault="0034063B" w:rsidP="0034063B">
      <w:pPr>
        <w:jc w:val="center"/>
        <w:rPr>
          <w:rFonts w:ascii="Times New Roman" w:hAnsi="Times New Roman" w:cs="Times New Roman"/>
          <w:b/>
          <w:sz w:val="24"/>
          <w:szCs w:val="24"/>
        </w:rPr>
      </w:pPr>
    </w:p>
    <w:p w:rsidR="0034063B" w:rsidRDefault="0034063B" w:rsidP="0034063B">
      <w:pPr>
        <w:jc w:val="center"/>
        <w:rPr>
          <w:rFonts w:ascii="Times New Roman" w:hAnsi="Times New Roman" w:cs="Times New Roman"/>
          <w:b/>
          <w:sz w:val="24"/>
          <w:szCs w:val="24"/>
        </w:rPr>
      </w:pPr>
    </w:p>
    <w:p w:rsidR="0034063B" w:rsidRPr="00E54383" w:rsidRDefault="0034063B" w:rsidP="0034063B">
      <w:pPr>
        <w:jc w:val="center"/>
        <w:rPr>
          <w:rFonts w:ascii="Times New Roman" w:hAnsi="Times New Roman" w:cs="Times New Roman"/>
          <w:b/>
          <w:sz w:val="28"/>
          <w:szCs w:val="24"/>
        </w:rPr>
      </w:pPr>
      <w:r w:rsidRPr="00E54383">
        <w:rPr>
          <w:rFonts w:ascii="Times New Roman" w:hAnsi="Times New Roman" w:cs="Times New Roman"/>
          <w:b/>
          <w:sz w:val="28"/>
          <w:szCs w:val="24"/>
        </w:rPr>
        <w:t>A jogi érvelés és alte</w:t>
      </w:r>
      <w:bookmarkStart w:id="0" w:name="_GoBack"/>
      <w:bookmarkEnd w:id="0"/>
      <w:r w:rsidRPr="00E54383">
        <w:rPr>
          <w:rFonts w:ascii="Times New Roman" w:hAnsi="Times New Roman" w:cs="Times New Roman"/>
          <w:b/>
          <w:sz w:val="28"/>
          <w:szCs w:val="24"/>
        </w:rPr>
        <w:t xml:space="preserve">rnatívái </w:t>
      </w:r>
    </w:p>
    <w:p w:rsidR="0034063B" w:rsidRDefault="0034063B" w:rsidP="0034063B">
      <w:pPr>
        <w:jc w:val="center"/>
        <w:rPr>
          <w:rFonts w:ascii="Times New Roman" w:hAnsi="Times New Roman" w:cs="Times New Roman"/>
          <w:b/>
          <w:sz w:val="24"/>
          <w:szCs w:val="24"/>
        </w:rPr>
      </w:pPr>
    </w:p>
    <w:p w:rsidR="0034063B" w:rsidRDefault="0034063B" w:rsidP="0034063B">
      <w:pPr>
        <w:jc w:val="center"/>
        <w:rPr>
          <w:rFonts w:ascii="Times New Roman" w:hAnsi="Times New Roman" w:cs="Times New Roman"/>
          <w:b/>
          <w:sz w:val="24"/>
          <w:szCs w:val="24"/>
        </w:rPr>
      </w:pPr>
      <w:r w:rsidRPr="009A6B62">
        <w:rPr>
          <w:rFonts w:ascii="Times New Roman" w:hAnsi="Times New Roman" w:cs="Times New Roman"/>
          <w:b/>
          <w:sz w:val="24"/>
          <w:szCs w:val="24"/>
        </w:rPr>
        <w:t xml:space="preserve">Jogelméleti konferencia </w:t>
      </w:r>
    </w:p>
    <w:p w:rsidR="0034063B" w:rsidRDefault="0034063B" w:rsidP="0034063B">
      <w:pPr>
        <w:jc w:val="center"/>
        <w:rPr>
          <w:rFonts w:ascii="Times New Roman" w:hAnsi="Times New Roman" w:cs="Times New Roman"/>
          <w:b/>
          <w:sz w:val="24"/>
          <w:szCs w:val="24"/>
        </w:rPr>
      </w:pPr>
      <w:r w:rsidRPr="009A6B62">
        <w:rPr>
          <w:rFonts w:ascii="Times New Roman" w:hAnsi="Times New Roman" w:cs="Times New Roman"/>
          <w:b/>
          <w:sz w:val="24"/>
          <w:szCs w:val="24"/>
        </w:rPr>
        <w:t xml:space="preserve">&amp; IJOTEN műhelyvita,  </w:t>
      </w:r>
    </w:p>
    <w:p w:rsidR="0034063B" w:rsidRDefault="0034063B" w:rsidP="0034063B">
      <w:pPr>
        <w:jc w:val="center"/>
        <w:rPr>
          <w:rFonts w:ascii="Times New Roman" w:hAnsi="Times New Roman" w:cs="Times New Roman"/>
          <w:b/>
          <w:sz w:val="24"/>
          <w:szCs w:val="24"/>
        </w:rPr>
      </w:pPr>
    </w:p>
    <w:p w:rsidR="0034063B" w:rsidRDefault="0034063B" w:rsidP="0034063B">
      <w:pPr>
        <w:jc w:val="center"/>
        <w:rPr>
          <w:rFonts w:ascii="Times New Roman" w:hAnsi="Times New Roman" w:cs="Times New Roman"/>
          <w:b/>
          <w:sz w:val="24"/>
          <w:szCs w:val="24"/>
        </w:rPr>
      </w:pPr>
    </w:p>
    <w:p w:rsidR="009E7780" w:rsidRDefault="0034063B" w:rsidP="0034063B">
      <w:pPr>
        <w:jc w:val="center"/>
        <w:rPr>
          <w:rFonts w:ascii="Times New Roman" w:hAnsi="Times New Roman" w:cs="Times New Roman"/>
          <w:b/>
          <w:sz w:val="24"/>
          <w:szCs w:val="24"/>
        </w:rPr>
      </w:pPr>
      <w:r w:rsidRPr="009A6B62">
        <w:rPr>
          <w:rFonts w:ascii="Times New Roman" w:hAnsi="Times New Roman" w:cs="Times New Roman"/>
          <w:b/>
          <w:sz w:val="24"/>
          <w:szCs w:val="24"/>
        </w:rPr>
        <w:t>2023. február 2-3.</w:t>
      </w:r>
    </w:p>
    <w:p w:rsidR="0034063B" w:rsidRDefault="0034063B" w:rsidP="0034063B">
      <w:pPr>
        <w:jc w:val="center"/>
        <w:rPr>
          <w:rFonts w:ascii="Times New Roman" w:hAnsi="Times New Roman" w:cs="Times New Roman"/>
          <w:b/>
          <w:sz w:val="24"/>
          <w:szCs w:val="24"/>
        </w:rPr>
      </w:pPr>
      <w:r w:rsidRPr="009A6B62">
        <w:rPr>
          <w:rFonts w:ascii="Times New Roman" w:hAnsi="Times New Roman" w:cs="Times New Roman"/>
          <w:b/>
          <w:sz w:val="24"/>
          <w:szCs w:val="24"/>
        </w:rPr>
        <w:t>Győr</w:t>
      </w:r>
    </w:p>
    <w:p w:rsidR="009E7780" w:rsidRPr="009A6B62" w:rsidRDefault="009E7780" w:rsidP="0034063B">
      <w:pPr>
        <w:jc w:val="center"/>
        <w:rPr>
          <w:rFonts w:ascii="Times New Roman" w:hAnsi="Times New Roman" w:cs="Times New Roman"/>
          <w:b/>
          <w:sz w:val="24"/>
          <w:szCs w:val="24"/>
        </w:rPr>
      </w:pPr>
    </w:p>
    <w:p w:rsidR="0034063B" w:rsidRDefault="0034063B" w:rsidP="0034063B">
      <w:pPr>
        <w:spacing w:after="0" w:line="240" w:lineRule="auto"/>
        <w:ind w:left="284" w:hanging="284"/>
        <w:jc w:val="center"/>
        <w:rPr>
          <w:rFonts w:ascii="Times New Roman" w:hAnsi="Times New Roman" w:cs="Times New Roman"/>
          <w:sz w:val="24"/>
          <w:szCs w:val="24"/>
        </w:rPr>
      </w:pPr>
      <w:r w:rsidRPr="009A6B62">
        <w:rPr>
          <w:rFonts w:ascii="Times New Roman" w:hAnsi="Times New Roman" w:cs="Times New Roman"/>
          <w:sz w:val="24"/>
          <w:szCs w:val="24"/>
        </w:rPr>
        <w:t>Széchenyi István Egyetem,</w:t>
      </w:r>
    </w:p>
    <w:p w:rsidR="0034063B" w:rsidRDefault="0034063B" w:rsidP="0034063B">
      <w:pPr>
        <w:spacing w:after="0" w:line="240" w:lineRule="auto"/>
        <w:ind w:left="284" w:hanging="284"/>
        <w:jc w:val="center"/>
        <w:rPr>
          <w:rFonts w:ascii="Times New Roman" w:hAnsi="Times New Roman" w:cs="Times New Roman"/>
          <w:sz w:val="24"/>
          <w:szCs w:val="24"/>
        </w:rPr>
      </w:pPr>
      <w:r w:rsidRPr="009A6B62">
        <w:rPr>
          <w:rFonts w:ascii="Times New Roman" w:hAnsi="Times New Roman" w:cs="Times New Roman"/>
          <w:sz w:val="24"/>
          <w:szCs w:val="24"/>
        </w:rPr>
        <w:t>Deák Ferenc Állam- és Jogtudományi Kar</w:t>
      </w:r>
    </w:p>
    <w:p w:rsidR="00DD7159" w:rsidRPr="00DD7159" w:rsidRDefault="00DD7159" w:rsidP="0034063B">
      <w:pPr>
        <w:spacing w:after="0" w:line="240" w:lineRule="auto"/>
        <w:ind w:left="284" w:hanging="284"/>
        <w:jc w:val="center"/>
        <w:rPr>
          <w:rFonts w:ascii="Times New Roman" w:hAnsi="Times New Roman" w:cs="Times New Roman"/>
          <w:sz w:val="24"/>
          <w:szCs w:val="24"/>
        </w:rPr>
      </w:pPr>
      <w:r w:rsidRPr="00DD7159">
        <w:rPr>
          <w:rFonts w:ascii="Times New Roman" w:hAnsi="Times New Roman" w:cs="Times New Roman"/>
          <w:sz w:val="24"/>
          <w:szCs w:val="24"/>
        </w:rPr>
        <w:t xml:space="preserve">Jogelméleti Tanszék – </w:t>
      </w:r>
      <w:r w:rsidRPr="00DD7159">
        <w:rPr>
          <w:rStyle w:val="markedcontent"/>
          <w:rFonts w:ascii="Times New Roman" w:hAnsi="Times New Roman" w:cs="Times New Roman"/>
          <w:sz w:val="24"/>
          <w:szCs w:val="24"/>
        </w:rPr>
        <w:t>Jog és Jogállam Kutatócsoport</w:t>
      </w:r>
    </w:p>
    <w:p w:rsidR="00DD7159" w:rsidRDefault="00DD7159" w:rsidP="0034063B">
      <w:pPr>
        <w:spacing w:after="0" w:line="240" w:lineRule="auto"/>
        <w:ind w:left="284" w:hanging="284"/>
        <w:jc w:val="center"/>
        <w:rPr>
          <w:rFonts w:ascii="Times New Roman" w:hAnsi="Times New Roman" w:cs="Times New Roman"/>
          <w:sz w:val="24"/>
          <w:szCs w:val="24"/>
        </w:rPr>
      </w:pPr>
    </w:p>
    <w:p w:rsidR="0034063B" w:rsidRDefault="0034063B" w:rsidP="0034063B">
      <w:pPr>
        <w:spacing w:after="0" w:line="240" w:lineRule="auto"/>
        <w:ind w:left="284" w:hanging="284"/>
        <w:jc w:val="center"/>
        <w:rPr>
          <w:rFonts w:ascii="Times New Roman" w:hAnsi="Times New Roman" w:cs="Times New Roman"/>
          <w:sz w:val="24"/>
          <w:szCs w:val="24"/>
        </w:rPr>
      </w:pPr>
    </w:p>
    <w:p w:rsidR="009E7780" w:rsidRDefault="009E7780" w:rsidP="0034063B">
      <w:pPr>
        <w:spacing w:after="0" w:line="240" w:lineRule="auto"/>
        <w:ind w:left="284" w:hanging="284"/>
        <w:jc w:val="center"/>
        <w:rPr>
          <w:rFonts w:ascii="Times New Roman" w:hAnsi="Times New Roman" w:cs="Times New Roman"/>
          <w:sz w:val="24"/>
          <w:szCs w:val="24"/>
        </w:rPr>
      </w:pPr>
    </w:p>
    <w:p w:rsidR="0034063B" w:rsidRDefault="0034063B" w:rsidP="0034063B">
      <w:pPr>
        <w:spacing w:after="0" w:line="240" w:lineRule="auto"/>
        <w:ind w:left="284" w:hanging="284"/>
        <w:jc w:val="center"/>
        <w:rPr>
          <w:rFonts w:ascii="Times New Roman" w:hAnsi="Times New Roman" w:cs="Times New Roman"/>
          <w:sz w:val="24"/>
          <w:szCs w:val="24"/>
        </w:rPr>
      </w:pPr>
      <w:r>
        <w:rPr>
          <w:rFonts w:ascii="Times New Roman" w:hAnsi="Times New Roman" w:cs="Times New Roman"/>
          <w:sz w:val="24"/>
          <w:szCs w:val="24"/>
        </w:rPr>
        <w:t xml:space="preserve">Helyszín: </w:t>
      </w:r>
      <w:r w:rsidRPr="009A6B62">
        <w:rPr>
          <w:rFonts w:ascii="Times New Roman" w:hAnsi="Times New Roman" w:cs="Times New Roman"/>
          <w:sz w:val="24"/>
          <w:szCs w:val="24"/>
        </w:rPr>
        <w:t>Deák Ferenc terem (Győr, Áldozat utca 12.)</w:t>
      </w:r>
      <w:r>
        <w:rPr>
          <w:rFonts w:ascii="Times New Roman" w:hAnsi="Times New Roman" w:cs="Times New Roman"/>
          <w:sz w:val="24"/>
          <w:szCs w:val="24"/>
        </w:rPr>
        <w:t xml:space="preserve"> &amp; online</w:t>
      </w:r>
    </w:p>
    <w:p w:rsidR="00E54383" w:rsidRDefault="00E54383" w:rsidP="00E54383">
      <w:pPr>
        <w:spacing w:after="0" w:line="240" w:lineRule="auto"/>
        <w:rPr>
          <w:rFonts w:ascii="Times New Roman" w:hAnsi="Times New Roman" w:cs="Times New Roman"/>
          <w:sz w:val="24"/>
          <w:szCs w:val="24"/>
        </w:rPr>
      </w:pPr>
    </w:p>
    <w:p w:rsidR="00E54383" w:rsidRDefault="00E54383" w:rsidP="00E54383">
      <w:pPr>
        <w:spacing w:after="0" w:line="240" w:lineRule="auto"/>
        <w:rPr>
          <w:rFonts w:ascii="Times New Roman" w:hAnsi="Times New Roman" w:cs="Times New Roman"/>
          <w:sz w:val="24"/>
          <w:szCs w:val="24"/>
        </w:rPr>
      </w:pPr>
    </w:p>
    <w:p w:rsidR="00E54383" w:rsidRDefault="00E54383" w:rsidP="00E54383">
      <w:pPr>
        <w:spacing w:after="0" w:line="240" w:lineRule="auto"/>
        <w:rPr>
          <w:rFonts w:ascii="Times New Roman" w:hAnsi="Times New Roman" w:cs="Times New Roman"/>
          <w:sz w:val="24"/>
          <w:szCs w:val="24"/>
        </w:rPr>
      </w:pPr>
    </w:p>
    <w:p w:rsidR="00E54383" w:rsidRDefault="00E54383" w:rsidP="00E54383">
      <w:pPr>
        <w:spacing w:after="0" w:line="240" w:lineRule="auto"/>
        <w:rPr>
          <w:rFonts w:ascii="Times New Roman" w:hAnsi="Times New Roman" w:cs="Times New Roman"/>
          <w:sz w:val="24"/>
          <w:szCs w:val="24"/>
        </w:rPr>
      </w:pPr>
    </w:p>
    <w:p w:rsidR="00E54383" w:rsidRDefault="00E54383" w:rsidP="00E543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Az alább olvashatókhoz képes módosított-frissített </w:t>
      </w:r>
    </w:p>
    <w:p w:rsidR="00E54383" w:rsidRDefault="00E54383" w:rsidP="00E543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absztraktok megtlálhatók itt:</w:t>
      </w:r>
    </w:p>
    <w:p w:rsidR="00E54383" w:rsidRDefault="00E54383" w:rsidP="00E54383">
      <w:pPr>
        <w:spacing w:after="0" w:line="240" w:lineRule="auto"/>
        <w:jc w:val="center"/>
        <w:rPr>
          <w:rFonts w:ascii="Times New Roman" w:hAnsi="Times New Roman" w:cs="Times New Roman"/>
          <w:sz w:val="24"/>
          <w:szCs w:val="24"/>
        </w:rPr>
      </w:pPr>
    </w:p>
    <w:p w:rsidR="00E54383" w:rsidRDefault="00E54383" w:rsidP="00E54383">
      <w:pPr>
        <w:spacing w:after="0" w:line="240" w:lineRule="auto"/>
        <w:jc w:val="center"/>
        <w:rPr>
          <w:rFonts w:ascii="Times New Roman" w:hAnsi="Times New Roman" w:cs="Times New Roman"/>
          <w:sz w:val="24"/>
          <w:szCs w:val="24"/>
        </w:rPr>
      </w:pPr>
      <w:hyperlink r:id="rId11" w:history="1">
        <w:r w:rsidRPr="00193801">
          <w:rPr>
            <w:rStyle w:val="Hiperhivatkozs"/>
            <w:rFonts w:ascii="Times New Roman" w:hAnsi="Times New Roman" w:cs="Times New Roman"/>
            <w:sz w:val="24"/>
            <w:szCs w:val="24"/>
          </w:rPr>
          <w:t>https://onedrive.live.com/?authkey=%21AOpKFTDXX69ea%5FY&amp;id=4C788677965F928A%2172257&amp;cid=4C788677965F928A</w:t>
        </w:r>
      </w:hyperlink>
    </w:p>
    <w:p w:rsidR="00E54383" w:rsidRPr="009A6B62" w:rsidRDefault="00E54383" w:rsidP="00E54383">
      <w:pPr>
        <w:spacing w:after="0" w:line="240" w:lineRule="auto"/>
        <w:jc w:val="center"/>
        <w:rPr>
          <w:rFonts w:ascii="Times New Roman" w:hAnsi="Times New Roman" w:cs="Times New Roman"/>
          <w:sz w:val="24"/>
          <w:szCs w:val="24"/>
        </w:rPr>
      </w:pPr>
    </w:p>
    <w:p w:rsidR="0034063B" w:rsidRDefault="0034063B" w:rsidP="00E5438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E54383" w:rsidRDefault="00E54383">
      <w:pPr>
        <w:spacing w:after="0" w:line="240" w:lineRule="auto"/>
        <w:ind w:left="641" w:hanging="357"/>
        <w:rPr>
          <w:rFonts w:ascii="Times New Roman" w:hAnsi="Times New Roman" w:cs="Times New Roman"/>
          <w:b/>
          <w:bCs/>
          <w:sz w:val="24"/>
          <w:szCs w:val="24"/>
        </w:rPr>
      </w:pPr>
    </w:p>
    <w:p w:rsidR="00E54383" w:rsidRDefault="00E54383">
      <w:pPr>
        <w:spacing w:after="0" w:line="240" w:lineRule="auto"/>
        <w:ind w:left="641" w:hanging="357"/>
        <w:rPr>
          <w:rFonts w:ascii="Times New Roman" w:hAnsi="Times New Roman" w:cs="Times New Roman"/>
          <w:b/>
          <w:bCs/>
          <w:sz w:val="24"/>
          <w:szCs w:val="24"/>
        </w:rPr>
      </w:pPr>
    </w:p>
    <w:p w:rsidR="00E54383" w:rsidRDefault="00E54383">
      <w:pPr>
        <w:spacing w:after="0" w:line="240" w:lineRule="auto"/>
        <w:ind w:left="641" w:hanging="357"/>
        <w:rPr>
          <w:rFonts w:ascii="Times New Roman" w:hAnsi="Times New Roman" w:cs="Times New Roman"/>
          <w:b/>
          <w:bCs/>
          <w:sz w:val="24"/>
          <w:szCs w:val="24"/>
        </w:rPr>
      </w:pPr>
    </w:p>
    <w:p w:rsidR="00E54383" w:rsidRDefault="00E54383">
      <w:pPr>
        <w:spacing w:after="0" w:line="240" w:lineRule="auto"/>
        <w:ind w:left="641" w:hanging="357"/>
        <w:rPr>
          <w:rFonts w:ascii="Times New Roman" w:hAnsi="Times New Roman" w:cs="Times New Roman"/>
          <w:b/>
          <w:bCs/>
          <w:sz w:val="24"/>
          <w:szCs w:val="24"/>
        </w:rPr>
      </w:pPr>
    </w:p>
    <w:p w:rsidR="0034063B" w:rsidRPr="0034063B" w:rsidRDefault="0034063B">
      <w:pPr>
        <w:spacing w:after="0" w:line="240" w:lineRule="auto"/>
        <w:ind w:left="641" w:hanging="357"/>
        <w:rPr>
          <w:rFonts w:ascii="Times New Roman" w:hAnsi="Times New Roman" w:cs="Times New Roman"/>
          <w:b/>
          <w:bCs/>
          <w:sz w:val="24"/>
          <w:szCs w:val="24"/>
        </w:rPr>
      </w:pPr>
    </w:p>
    <w:p w:rsidR="00B0689C" w:rsidRPr="00740E29" w:rsidRDefault="00B0689C" w:rsidP="0034063B">
      <w:pPr>
        <w:spacing w:after="0" w:line="276" w:lineRule="auto"/>
        <w:jc w:val="center"/>
        <w:rPr>
          <w:rFonts w:ascii="Times New Roman" w:hAnsi="Times New Roman" w:cs="Times New Roman"/>
          <w:b/>
          <w:bCs/>
          <w:sz w:val="20"/>
          <w:lang w:val="en-GB"/>
        </w:rPr>
      </w:pPr>
      <w:r w:rsidRPr="00740E29">
        <w:rPr>
          <w:rFonts w:ascii="Times New Roman" w:hAnsi="Times New Roman" w:cs="Times New Roman"/>
          <w:b/>
          <w:bCs/>
          <w:sz w:val="20"/>
          <w:lang w:val="en-GB"/>
        </w:rPr>
        <w:t>Case-based Reasoning as a Measure of Constitutional Adjudication</w:t>
      </w:r>
    </w:p>
    <w:p w:rsidR="00B0689C" w:rsidRPr="00740E29" w:rsidRDefault="00B0689C" w:rsidP="0034063B">
      <w:pPr>
        <w:spacing w:after="0" w:line="276" w:lineRule="auto"/>
        <w:jc w:val="center"/>
        <w:rPr>
          <w:rFonts w:ascii="Times New Roman" w:hAnsi="Times New Roman" w:cs="Times New Roman"/>
          <w:b/>
          <w:bCs/>
          <w:sz w:val="20"/>
          <w:lang w:val="en-GB"/>
        </w:rPr>
      </w:pPr>
      <w:r w:rsidRPr="00740E29">
        <w:rPr>
          <w:rFonts w:ascii="Times New Roman" w:hAnsi="Times New Roman" w:cs="Times New Roman"/>
          <w:b/>
          <w:bCs/>
          <w:sz w:val="20"/>
          <w:lang w:val="en-GB"/>
        </w:rPr>
        <w:t xml:space="preserve">Remarks on the Jurisprudence on Criticism </w:t>
      </w:r>
      <w:proofErr w:type="gramStart"/>
      <w:r w:rsidRPr="00740E29">
        <w:rPr>
          <w:rFonts w:ascii="Times New Roman" w:hAnsi="Times New Roman" w:cs="Times New Roman"/>
          <w:b/>
          <w:bCs/>
          <w:sz w:val="20"/>
          <w:lang w:val="en-GB"/>
        </w:rPr>
        <w:t>About</w:t>
      </w:r>
      <w:proofErr w:type="gramEnd"/>
      <w:r w:rsidRPr="00740E29">
        <w:rPr>
          <w:rFonts w:ascii="Times New Roman" w:hAnsi="Times New Roman" w:cs="Times New Roman"/>
          <w:b/>
          <w:bCs/>
          <w:sz w:val="20"/>
          <w:lang w:val="en-GB"/>
        </w:rPr>
        <w:t xml:space="preserve"> Public Figures of the Hungarian Constitutional Court</w:t>
      </w:r>
    </w:p>
    <w:p w:rsidR="00B0689C" w:rsidRPr="00740E29" w:rsidRDefault="00B0689C" w:rsidP="0034063B">
      <w:pPr>
        <w:spacing w:after="0" w:line="276" w:lineRule="auto"/>
        <w:jc w:val="center"/>
        <w:rPr>
          <w:rFonts w:ascii="Times New Roman" w:hAnsi="Times New Roman" w:cs="Times New Roman"/>
          <w:b/>
          <w:bCs/>
          <w:sz w:val="20"/>
          <w:lang w:val="en-GB"/>
        </w:rPr>
      </w:pPr>
    </w:p>
    <w:p w:rsidR="00B0689C" w:rsidRPr="00740E29" w:rsidRDefault="00B0689C" w:rsidP="0034063B">
      <w:pPr>
        <w:spacing w:after="0" w:line="276" w:lineRule="auto"/>
        <w:jc w:val="center"/>
        <w:rPr>
          <w:rFonts w:ascii="Times New Roman" w:hAnsi="Times New Roman" w:cs="Times New Roman"/>
          <w:b/>
          <w:bCs/>
          <w:i/>
          <w:sz w:val="20"/>
          <w:lang w:val="en-GB"/>
        </w:rPr>
      </w:pPr>
      <w:r w:rsidRPr="00740E29">
        <w:rPr>
          <w:rFonts w:ascii="Times New Roman" w:hAnsi="Times New Roman" w:cs="Times New Roman"/>
          <w:b/>
          <w:bCs/>
          <w:i/>
          <w:sz w:val="20"/>
          <w:lang w:val="en-GB"/>
        </w:rPr>
        <w:t>Éva Boda-Balogh</w:t>
      </w:r>
    </w:p>
    <w:p w:rsidR="00B0689C" w:rsidRPr="00740E29" w:rsidRDefault="00B0689C" w:rsidP="0034063B">
      <w:pPr>
        <w:spacing w:after="0" w:line="276" w:lineRule="auto"/>
        <w:jc w:val="center"/>
        <w:rPr>
          <w:rFonts w:ascii="Times New Roman" w:hAnsi="Times New Roman" w:cs="Times New Roman"/>
          <w:b/>
          <w:bCs/>
          <w:sz w:val="20"/>
          <w:lang w:val="en-GB"/>
        </w:rPr>
      </w:pPr>
    </w:p>
    <w:p w:rsidR="00B0689C" w:rsidRPr="00740E29" w:rsidRDefault="00B0689C" w:rsidP="0034063B">
      <w:pPr>
        <w:spacing w:before="240" w:after="0" w:line="276" w:lineRule="auto"/>
        <w:jc w:val="both"/>
        <w:rPr>
          <w:rFonts w:ascii="Times New Roman" w:hAnsi="Times New Roman" w:cs="Times New Roman"/>
          <w:sz w:val="20"/>
          <w:lang w:val="en-GB"/>
        </w:rPr>
      </w:pPr>
      <w:r w:rsidRPr="00740E29">
        <w:rPr>
          <w:rFonts w:ascii="Times New Roman" w:hAnsi="Times New Roman" w:cs="Times New Roman"/>
          <w:sz w:val="20"/>
          <w:lang w:val="en-GB"/>
        </w:rPr>
        <w:t>Case-based reasoning is one of the most significant types of argumentation in constitutional adjudication. In the scholar literature there is a wide concept of case-based reasoning in constitutional adjudication. On the one hand, constitutional courts and other courts dealing with constitutional adjudication take into account their own previous decisions to develop their own case law, even if those do not bind them formally. On the other hand, constitutional courts use foreign jurisdictions – such as judicial decisions of foreign national constitutional courts or international tribunals – that develop and supplement their interpretation.</w:t>
      </w:r>
    </w:p>
    <w:p w:rsidR="00B0689C" w:rsidRPr="00740E29" w:rsidRDefault="00B0689C" w:rsidP="0034063B">
      <w:pPr>
        <w:spacing w:before="240" w:after="0" w:line="276" w:lineRule="auto"/>
        <w:jc w:val="both"/>
        <w:rPr>
          <w:rFonts w:ascii="Times New Roman" w:hAnsi="Times New Roman" w:cs="Times New Roman"/>
          <w:sz w:val="20"/>
          <w:lang w:val="en-GB"/>
        </w:rPr>
      </w:pPr>
      <w:r w:rsidRPr="00740E29">
        <w:rPr>
          <w:rFonts w:ascii="Times New Roman" w:hAnsi="Times New Roman" w:cs="Times New Roman"/>
          <w:sz w:val="20"/>
          <w:lang w:val="en-GB"/>
        </w:rPr>
        <w:t xml:space="preserve">The approach of constitutional courts to their own case law is a crucial subject of the analysis of constitutional jurisprudence. </w:t>
      </w:r>
      <w:proofErr w:type="gramStart"/>
      <w:r w:rsidRPr="00740E29">
        <w:rPr>
          <w:rFonts w:ascii="Times New Roman" w:hAnsi="Times New Roman" w:cs="Times New Roman"/>
          <w:sz w:val="20"/>
          <w:lang w:val="en-GB"/>
        </w:rPr>
        <w:t>Beside</w:t>
      </w:r>
      <w:proofErr w:type="gramEnd"/>
      <w:r w:rsidRPr="00740E29">
        <w:rPr>
          <w:rFonts w:ascii="Times New Roman" w:hAnsi="Times New Roman" w:cs="Times New Roman"/>
          <w:sz w:val="20"/>
          <w:lang w:val="en-GB"/>
        </w:rPr>
        <w:t xml:space="preserve"> ensuring stability in constitutional decision-making, constitutional courts also can develop, supplement or even correct the interpretation of the constitution by applying case-based reasoning. Case-based </w:t>
      </w:r>
      <w:proofErr w:type="gramStart"/>
      <w:r w:rsidRPr="00740E29">
        <w:rPr>
          <w:rFonts w:ascii="Times New Roman" w:hAnsi="Times New Roman" w:cs="Times New Roman"/>
          <w:sz w:val="20"/>
          <w:lang w:val="en-GB"/>
        </w:rPr>
        <w:t>argumentation also improve</w:t>
      </w:r>
      <w:proofErr w:type="gramEnd"/>
      <w:r w:rsidRPr="00740E29">
        <w:rPr>
          <w:rFonts w:ascii="Times New Roman" w:hAnsi="Times New Roman" w:cs="Times New Roman"/>
          <w:sz w:val="20"/>
          <w:lang w:val="en-GB"/>
        </w:rPr>
        <w:t xml:space="preserve"> the constitutional traditions and the legal culture. As the interpretation of constitutional courts is universally binding, it is also a general requirement of the rule of law that constitutional courts should build a consistent and predictable practice and apply the existing principles and measures of their own previous decisions.</w:t>
      </w:r>
    </w:p>
    <w:p w:rsidR="00B0689C" w:rsidRPr="00740E29" w:rsidRDefault="00B0689C" w:rsidP="0034063B">
      <w:pPr>
        <w:spacing w:before="240" w:after="0" w:line="276" w:lineRule="auto"/>
        <w:jc w:val="both"/>
        <w:rPr>
          <w:rFonts w:ascii="Times New Roman" w:hAnsi="Times New Roman" w:cs="Times New Roman"/>
          <w:sz w:val="20"/>
          <w:lang w:val="en-GB"/>
        </w:rPr>
      </w:pPr>
      <w:r w:rsidRPr="00740E29">
        <w:rPr>
          <w:rFonts w:ascii="Times New Roman" w:hAnsi="Times New Roman" w:cs="Times New Roman"/>
          <w:sz w:val="20"/>
          <w:lang w:val="en-GB"/>
        </w:rPr>
        <w:t>In this presentation I will focus on this aspect of case-based reasoning in constitutional adjudication. The presentation aims to analyse the case law of Hungarian Constitutional Court (‘HCC’) from this perspective regarding the freedom of expression about public figures. The presentation focuses on how the HCC’s practice relates to its own case law on the limits of those expressions on public figures through its decisions and argumentations in similar cases. Consequently, the aim is not to examine the frequency of the references to previous decisions but the substantive effects of them to the argumentation of the HCC. This presentation will provide a short overview of the HCC’s case law from this aspect and highlight the recent tendencies.</w:t>
      </w:r>
    </w:p>
    <w:p w:rsidR="00B0689C" w:rsidRPr="00740E29" w:rsidRDefault="00B0689C" w:rsidP="0034063B">
      <w:pPr>
        <w:spacing w:after="0" w:line="276" w:lineRule="auto"/>
        <w:ind w:left="641" w:hanging="357"/>
        <w:rPr>
          <w:rFonts w:ascii="Times New Roman" w:hAnsi="Times New Roman" w:cs="Times New Roman"/>
          <w:sz w:val="20"/>
          <w:lang w:val="en-GB"/>
        </w:rPr>
      </w:pPr>
      <w:r w:rsidRPr="00740E29">
        <w:rPr>
          <w:rFonts w:ascii="Times New Roman" w:hAnsi="Times New Roman" w:cs="Times New Roman"/>
          <w:sz w:val="20"/>
          <w:lang w:val="en-GB"/>
        </w:rPr>
        <w:br w:type="page"/>
      </w:r>
    </w:p>
    <w:p w:rsidR="00B95D3B" w:rsidRPr="00740E29" w:rsidRDefault="00DA30BD" w:rsidP="0034063B">
      <w:pPr>
        <w:spacing w:line="276" w:lineRule="auto"/>
        <w:rPr>
          <w:rFonts w:ascii="Times New Roman" w:hAnsi="Times New Roman" w:cs="Times New Roman"/>
          <w:sz w:val="20"/>
          <w:lang w:val="en-GB"/>
        </w:rPr>
      </w:pPr>
    </w:p>
    <w:p w:rsidR="00B0689C" w:rsidRPr="00740E29" w:rsidRDefault="00B0689C" w:rsidP="0034063B">
      <w:pPr>
        <w:spacing w:after="0" w:line="276" w:lineRule="auto"/>
        <w:jc w:val="center"/>
        <w:rPr>
          <w:rFonts w:ascii="Times New Roman" w:hAnsi="Times New Roman" w:cs="Times New Roman"/>
          <w:b/>
          <w:iCs/>
          <w:sz w:val="20"/>
        </w:rPr>
      </w:pPr>
      <w:r w:rsidRPr="00740E29">
        <w:rPr>
          <w:rFonts w:ascii="Times New Roman" w:hAnsi="Times New Roman" w:cs="Times New Roman"/>
          <w:b/>
          <w:iCs/>
          <w:sz w:val="20"/>
        </w:rPr>
        <w:t>The narrative of legal professions about "thinking like a lawyer" as one of foundation of lawyers' identity.</w:t>
      </w:r>
    </w:p>
    <w:p w:rsidR="00B0689C" w:rsidRPr="00740E29" w:rsidRDefault="00B0689C" w:rsidP="0034063B">
      <w:pPr>
        <w:spacing w:after="0" w:line="276" w:lineRule="auto"/>
        <w:jc w:val="center"/>
        <w:rPr>
          <w:rFonts w:ascii="Times New Roman" w:hAnsi="Times New Roman" w:cs="Times New Roman"/>
          <w:i/>
          <w:iCs/>
          <w:sz w:val="20"/>
        </w:rPr>
      </w:pPr>
    </w:p>
    <w:p w:rsidR="00B0689C" w:rsidRPr="00740E29" w:rsidRDefault="00B0689C" w:rsidP="0034063B">
      <w:pPr>
        <w:spacing w:after="0" w:line="276" w:lineRule="auto"/>
        <w:jc w:val="center"/>
        <w:rPr>
          <w:rFonts w:ascii="Times New Roman" w:hAnsi="Times New Roman" w:cs="Times New Roman"/>
          <w:b/>
          <w:i/>
          <w:sz w:val="20"/>
        </w:rPr>
      </w:pPr>
      <w:r w:rsidRPr="00740E29">
        <w:rPr>
          <w:rFonts w:ascii="Times New Roman" w:hAnsi="Times New Roman" w:cs="Times New Roman"/>
          <w:b/>
          <w:i/>
          <w:sz w:val="20"/>
        </w:rPr>
        <w:t>Jacek Srokosz (Opole University), Paulina Bieś-Srokosz (Jan Dlugosz University)</w:t>
      </w:r>
    </w:p>
    <w:p w:rsidR="00B0689C" w:rsidRPr="00740E29" w:rsidRDefault="00B0689C" w:rsidP="0034063B">
      <w:pPr>
        <w:spacing w:after="0" w:line="276" w:lineRule="auto"/>
        <w:jc w:val="center"/>
        <w:rPr>
          <w:rFonts w:ascii="Times New Roman" w:hAnsi="Times New Roman" w:cs="Times New Roman"/>
          <w:i/>
          <w:iCs/>
          <w:sz w:val="20"/>
        </w:rPr>
      </w:pPr>
    </w:p>
    <w:p w:rsidR="00B0689C" w:rsidRPr="00740E29" w:rsidRDefault="00B0689C" w:rsidP="0034063B">
      <w:pPr>
        <w:spacing w:before="240" w:after="0" w:line="276" w:lineRule="auto"/>
        <w:jc w:val="both"/>
        <w:rPr>
          <w:rFonts w:ascii="Times New Roman" w:hAnsi="Times New Roman" w:cs="Times New Roman"/>
          <w:sz w:val="20"/>
          <w:lang w:val="en"/>
        </w:rPr>
      </w:pPr>
      <w:r w:rsidRPr="00740E29">
        <w:rPr>
          <w:rFonts w:ascii="Times New Roman" w:hAnsi="Times New Roman" w:cs="Times New Roman"/>
          <w:sz w:val="20"/>
        </w:rPr>
        <w:t xml:space="preserve">The term „thinking like a lawyer” is significant part of American legal culture and by the american legal professions is regarded as something obvious, as a fact that does not require justification. </w:t>
      </w:r>
      <w:r w:rsidRPr="00740E29">
        <w:rPr>
          <w:rStyle w:val="rynqvb"/>
          <w:rFonts w:ascii="Times New Roman" w:hAnsi="Times New Roman" w:cs="Times New Roman"/>
          <w:sz w:val="20"/>
          <w:lang w:val="en"/>
        </w:rPr>
        <w:t xml:space="preserve">It is based on the assumption that there is a specific way of thinking, characteristic only for representatives of legal professions, significantly different from thinking typical of other professions, or more broadly, for non-lawyers. However, there </w:t>
      </w:r>
      <w:proofErr w:type="gramStart"/>
      <w:r w:rsidRPr="00740E29">
        <w:rPr>
          <w:rStyle w:val="rynqvb"/>
          <w:rFonts w:ascii="Times New Roman" w:hAnsi="Times New Roman" w:cs="Times New Roman"/>
          <w:sz w:val="20"/>
          <w:lang w:val="en"/>
        </w:rPr>
        <w:t>was</w:t>
      </w:r>
      <w:proofErr w:type="gramEnd"/>
      <w:r w:rsidRPr="00740E29">
        <w:rPr>
          <w:rStyle w:val="rynqvb"/>
          <w:rFonts w:ascii="Times New Roman" w:hAnsi="Times New Roman" w:cs="Times New Roman"/>
          <w:sz w:val="20"/>
          <w:lang w:val="en"/>
        </w:rPr>
        <w:t xml:space="preserve"> not many attempts to precisely determine its constitutensts (most often are mentioned such features as the precision of thinking, support on formal logic, the use of specific legal reasonings) and how such thinking differs from the reasoning of representatives of other professions. The aim of presentation is to answer the question whether there is really a way of thinking typical only for lawyers, and to what extent adoption of such an assumption is necessary to determine the identity of legal professions.</w:t>
      </w:r>
    </w:p>
    <w:p w:rsidR="00B0689C" w:rsidRPr="00740E29" w:rsidRDefault="00B0689C" w:rsidP="0034063B">
      <w:pPr>
        <w:spacing w:line="276" w:lineRule="auto"/>
        <w:rPr>
          <w:rFonts w:ascii="Times New Roman" w:hAnsi="Times New Roman" w:cs="Times New Roman"/>
          <w:sz w:val="20"/>
          <w:lang w:val="en"/>
        </w:rPr>
      </w:pPr>
    </w:p>
    <w:p w:rsidR="00B0689C" w:rsidRPr="00740E29" w:rsidRDefault="00B0689C" w:rsidP="0034063B">
      <w:pPr>
        <w:spacing w:after="0" w:line="276" w:lineRule="auto"/>
        <w:ind w:left="641" w:hanging="357"/>
        <w:rPr>
          <w:rFonts w:ascii="Times New Roman" w:hAnsi="Times New Roman" w:cs="Times New Roman"/>
          <w:sz w:val="20"/>
          <w:lang w:val="en"/>
        </w:rPr>
      </w:pPr>
      <w:r w:rsidRPr="00740E29">
        <w:rPr>
          <w:rFonts w:ascii="Times New Roman" w:hAnsi="Times New Roman" w:cs="Times New Roman"/>
          <w:sz w:val="20"/>
          <w:lang w:val="en"/>
        </w:rPr>
        <w:br w:type="page"/>
      </w:r>
    </w:p>
    <w:p w:rsidR="00DD7159" w:rsidRPr="00740E29" w:rsidRDefault="00DD7159" w:rsidP="00DD7159">
      <w:pPr>
        <w:spacing w:line="276" w:lineRule="auto"/>
        <w:jc w:val="center"/>
        <w:rPr>
          <w:rFonts w:ascii="Times New Roman" w:hAnsi="Times New Roman" w:cs="Times New Roman"/>
          <w:b/>
          <w:color w:val="000000"/>
          <w:sz w:val="20"/>
          <w:shd w:val="clear" w:color="auto" w:fill="FFFFFF"/>
        </w:rPr>
      </w:pPr>
    </w:p>
    <w:p w:rsidR="00DD7159" w:rsidRPr="00740E29" w:rsidRDefault="00DD7159" w:rsidP="00DD7159">
      <w:pPr>
        <w:spacing w:line="276" w:lineRule="auto"/>
        <w:jc w:val="center"/>
        <w:rPr>
          <w:rFonts w:ascii="Times New Roman" w:hAnsi="Times New Roman" w:cs="Times New Roman"/>
          <w:b/>
          <w:color w:val="000000"/>
          <w:sz w:val="20"/>
          <w:shd w:val="clear" w:color="auto" w:fill="FFFFFF"/>
        </w:rPr>
      </w:pPr>
      <w:r w:rsidRPr="00740E29">
        <w:rPr>
          <w:rFonts w:ascii="Times New Roman" w:hAnsi="Times New Roman" w:cs="Times New Roman"/>
          <w:b/>
          <w:color w:val="000000"/>
          <w:sz w:val="20"/>
          <w:shd w:val="clear" w:color="auto" w:fill="FFFFFF"/>
        </w:rPr>
        <w:t>Legal Reasoning - An Exercise of the ‘Artificial Reason of the Law’?</w:t>
      </w:r>
    </w:p>
    <w:p w:rsidR="00DD7159" w:rsidRPr="00740E29" w:rsidRDefault="00DD7159" w:rsidP="00DD7159">
      <w:pPr>
        <w:spacing w:line="276" w:lineRule="auto"/>
        <w:jc w:val="center"/>
        <w:rPr>
          <w:rFonts w:ascii="Times New Roman" w:hAnsi="Times New Roman" w:cs="Times New Roman"/>
          <w:sz w:val="20"/>
        </w:rPr>
      </w:pPr>
      <w:r w:rsidRPr="00740E29">
        <w:rPr>
          <w:rFonts w:ascii="Times New Roman" w:eastAsia="Times New Roman" w:hAnsi="Times New Roman" w:cs="Times New Roman"/>
          <w:b/>
          <w:i/>
          <w:color w:val="000000"/>
          <w:sz w:val="20"/>
          <w:lang w:eastAsia="hu-HU"/>
        </w:rPr>
        <w:t>Mátyás Bódig</w:t>
      </w:r>
    </w:p>
    <w:p w:rsidR="00DD7159" w:rsidRPr="00740E29" w:rsidRDefault="00DD7159" w:rsidP="00DD7159">
      <w:pPr>
        <w:spacing w:line="276" w:lineRule="auto"/>
        <w:rPr>
          <w:rFonts w:ascii="Times New Roman" w:eastAsia="Times New Roman" w:hAnsi="Times New Roman" w:cs="Times New Roman"/>
          <w:color w:val="000000"/>
          <w:sz w:val="20"/>
          <w:lang w:eastAsia="hu-HU"/>
        </w:rPr>
      </w:pPr>
      <w:r w:rsidRPr="00740E29">
        <w:rPr>
          <w:rFonts w:ascii="Times New Roman" w:eastAsia="Times New Roman" w:hAnsi="Times New Roman" w:cs="Times New Roman"/>
          <w:color w:val="000000"/>
          <w:sz w:val="20"/>
          <w:lang w:eastAsia="hu-HU"/>
        </w:rPr>
        <w:t>The paper deals with the conceptual parameters of accounting for legal reasoning, and its focus is on the methodological implications. The analysis revolves around one of the questions highlighted in the call for papers: ‘Is there autonomous legal reasoning, or is it only a manifestation of political reasoning?’</w:t>
      </w:r>
    </w:p>
    <w:p w:rsidR="00DD7159" w:rsidRPr="00740E29" w:rsidRDefault="00DD7159" w:rsidP="00DD7159">
      <w:pPr>
        <w:spacing w:line="276" w:lineRule="auto"/>
        <w:rPr>
          <w:rFonts w:ascii="Times New Roman" w:eastAsia="Times New Roman" w:hAnsi="Times New Roman" w:cs="Times New Roman"/>
          <w:color w:val="000000"/>
          <w:sz w:val="20"/>
          <w:lang w:eastAsia="hu-HU"/>
        </w:rPr>
      </w:pPr>
      <w:r w:rsidRPr="00740E29">
        <w:rPr>
          <w:rFonts w:ascii="Times New Roman" w:eastAsia="Times New Roman" w:hAnsi="Times New Roman" w:cs="Times New Roman"/>
          <w:color w:val="000000"/>
          <w:sz w:val="20"/>
          <w:lang w:eastAsia="hu-HU"/>
        </w:rPr>
        <w:t>The paper is inspired by the sporadic legal theoretical debates around the idea of the ‘artificial reason of the law.’ One way to understand the challenge is to ask whether legal reasoning reflects the operations of ‘ordinary practical reason’ (in the sense of finding the best course of action on the balance of all relevant reasons). Or does it represent a special case - a form of practical reason specific to legal contexts and the application of legal knowledge?</w:t>
      </w:r>
    </w:p>
    <w:p w:rsidR="00DD7159" w:rsidRPr="00740E29" w:rsidRDefault="00DD7159" w:rsidP="00DD7159">
      <w:pPr>
        <w:spacing w:line="276" w:lineRule="auto"/>
        <w:rPr>
          <w:rFonts w:ascii="Times New Roman" w:eastAsia="Times New Roman" w:hAnsi="Times New Roman" w:cs="Times New Roman"/>
          <w:color w:val="000000"/>
          <w:sz w:val="20"/>
          <w:lang w:eastAsia="hu-HU"/>
        </w:rPr>
      </w:pPr>
      <w:r w:rsidRPr="00740E29">
        <w:rPr>
          <w:rFonts w:ascii="Times New Roman" w:eastAsia="Times New Roman" w:hAnsi="Times New Roman" w:cs="Times New Roman"/>
          <w:color w:val="000000"/>
          <w:sz w:val="20"/>
          <w:lang w:eastAsia="hu-HU"/>
        </w:rPr>
        <w:t>The position advocated in the paper is that legal reasoning reflects the operations of ‘ordinary’ practical reason within specific institutional constraints. I argue that any viable theoretical account of legal reasoning needs to operate within conceptual parameters determined by the specifics of the normative character of law, as well as the implications of the fact that the law operates as an institutional social practice. The combined effect of the relevant conceptual points is that legal reasoning can never be conceived of as following formal rules mechanically. It is more about striking a balance between substantive reasons related to the case at hand and considerations of normative competence in institutional settings.</w:t>
      </w:r>
    </w:p>
    <w:p w:rsidR="00DD7159" w:rsidRPr="00740E29" w:rsidRDefault="00DD7159" w:rsidP="00DD7159">
      <w:pPr>
        <w:spacing w:line="276" w:lineRule="auto"/>
        <w:rPr>
          <w:rFonts w:ascii="Times New Roman" w:eastAsia="Times New Roman" w:hAnsi="Times New Roman" w:cs="Times New Roman"/>
          <w:color w:val="000000"/>
          <w:sz w:val="20"/>
          <w:lang w:eastAsia="hu-HU"/>
        </w:rPr>
      </w:pPr>
    </w:p>
    <w:p w:rsidR="00DD7159" w:rsidRPr="00740E29" w:rsidRDefault="00DD7159" w:rsidP="00DD7159">
      <w:pPr>
        <w:spacing w:line="276" w:lineRule="auto"/>
        <w:rPr>
          <w:rFonts w:ascii="Times New Roman" w:hAnsi="Times New Roman" w:cs="Times New Roman"/>
          <w:sz w:val="20"/>
        </w:rPr>
      </w:pPr>
      <w:r w:rsidRPr="00740E29">
        <w:rPr>
          <w:rFonts w:ascii="Times New Roman" w:eastAsia="Times New Roman" w:hAnsi="Times New Roman" w:cs="Times New Roman"/>
          <w:color w:val="000000"/>
          <w:sz w:val="20"/>
          <w:lang w:eastAsia="hu-HU"/>
        </w:rPr>
        <w:t>In this context, asking whether legal reasoning is a form of ‘political reasoning’ may be misleading. The law (in all its incarnations) is a political institution, but the implications of that fact for legal reasoning are rather indeterminate. The political character of the law is manifested in the institutional constraints of legal reasoning, and those constraints vary across political systems.</w:t>
      </w:r>
    </w:p>
    <w:p w:rsidR="00B0689C" w:rsidRPr="00740E29" w:rsidRDefault="00B0689C" w:rsidP="0034063B">
      <w:pPr>
        <w:spacing w:after="0" w:line="276" w:lineRule="auto"/>
        <w:ind w:left="641" w:hanging="357"/>
        <w:rPr>
          <w:rFonts w:ascii="Times New Roman" w:hAnsi="Times New Roman" w:cs="Times New Roman"/>
          <w:sz w:val="20"/>
        </w:rPr>
      </w:pPr>
      <w:r w:rsidRPr="00740E29">
        <w:rPr>
          <w:rFonts w:ascii="Times New Roman" w:hAnsi="Times New Roman" w:cs="Times New Roman"/>
          <w:sz w:val="20"/>
        </w:rPr>
        <w:br w:type="page"/>
      </w:r>
    </w:p>
    <w:p w:rsidR="00B0689C" w:rsidRPr="00740E29" w:rsidRDefault="00B0689C" w:rsidP="0034063B">
      <w:pPr>
        <w:spacing w:after="0" w:line="276" w:lineRule="auto"/>
        <w:jc w:val="center"/>
        <w:rPr>
          <w:rFonts w:ascii="Times New Roman" w:hAnsi="Times New Roman" w:cs="Times New Roman"/>
          <w:b/>
          <w:sz w:val="20"/>
        </w:rPr>
      </w:pPr>
      <w:r w:rsidRPr="00740E29">
        <w:rPr>
          <w:rFonts w:ascii="Times New Roman" w:hAnsi="Times New Roman" w:cs="Times New Roman"/>
          <w:b/>
          <w:sz w:val="20"/>
        </w:rPr>
        <w:lastRenderedPageBreak/>
        <w:t>„Hit a jogban”. Piero Calamandrei jogelméleti kitekintése</w:t>
      </w:r>
    </w:p>
    <w:p w:rsidR="00B0689C" w:rsidRPr="00740E29" w:rsidRDefault="00B0689C" w:rsidP="0034063B">
      <w:pPr>
        <w:spacing w:after="0" w:line="276" w:lineRule="auto"/>
        <w:jc w:val="center"/>
        <w:rPr>
          <w:rFonts w:ascii="Times New Roman" w:hAnsi="Times New Roman" w:cs="Times New Roman"/>
          <w:b/>
          <w:sz w:val="20"/>
        </w:rPr>
      </w:pPr>
    </w:p>
    <w:p w:rsidR="00B0689C" w:rsidRPr="00740E29" w:rsidRDefault="00B0689C" w:rsidP="0034063B">
      <w:pPr>
        <w:spacing w:after="0" w:line="276" w:lineRule="auto"/>
        <w:jc w:val="center"/>
        <w:rPr>
          <w:rFonts w:ascii="Times New Roman" w:hAnsi="Times New Roman" w:cs="Times New Roman"/>
          <w:b/>
          <w:i/>
          <w:sz w:val="20"/>
        </w:rPr>
      </w:pPr>
      <w:r w:rsidRPr="00740E29">
        <w:rPr>
          <w:rFonts w:ascii="Times New Roman" w:hAnsi="Times New Roman" w:cs="Times New Roman"/>
          <w:b/>
          <w:i/>
          <w:sz w:val="20"/>
        </w:rPr>
        <w:t>Egresi Katalin</w:t>
      </w:r>
    </w:p>
    <w:p w:rsidR="00B0689C" w:rsidRPr="00740E29" w:rsidRDefault="00B0689C" w:rsidP="0034063B">
      <w:pPr>
        <w:spacing w:after="0" w:line="276" w:lineRule="auto"/>
        <w:jc w:val="center"/>
        <w:rPr>
          <w:rFonts w:ascii="Times New Roman" w:hAnsi="Times New Roman" w:cs="Times New Roman"/>
          <w:b/>
          <w:sz w:val="20"/>
        </w:rPr>
      </w:pPr>
    </w:p>
    <w:p w:rsidR="00B0689C" w:rsidRPr="00740E29" w:rsidRDefault="00B0689C" w:rsidP="0034063B">
      <w:pPr>
        <w:spacing w:before="240" w:after="0" w:line="276" w:lineRule="auto"/>
        <w:jc w:val="both"/>
        <w:rPr>
          <w:rFonts w:ascii="Times New Roman" w:hAnsi="Times New Roman" w:cs="Times New Roman"/>
          <w:sz w:val="20"/>
        </w:rPr>
      </w:pPr>
      <w:r w:rsidRPr="00740E29">
        <w:rPr>
          <w:rFonts w:ascii="Times New Roman" w:hAnsi="Times New Roman" w:cs="Times New Roman"/>
          <w:sz w:val="20"/>
        </w:rPr>
        <w:t xml:space="preserve">Piero </w:t>
      </w:r>
      <w:r w:rsidRPr="00740E29">
        <w:rPr>
          <w:rFonts w:ascii="Times New Roman" w:hAnsi="Times New Roman" w:cs="Times New Roman"/>
          <w:smallCaps/>
          <w:sz w:val="20"/>
        </w:rPr>
        <w:t>Calamandrei</w:t>
      </w:r>
      <w:r w:rsidRPr="00740E29">
        <w:rPr>
          <w:rFonts w:ascii="Times New Roman" w:hAnsi="Times New Roman" w:cs="Times New Roman"/>
          <w:sz w:val="20"/>
        </w:rPr>
        <w:t xml:space="preserve"> tudományos és politikai pályafutása a XX. századi olasz jogtudományi gondolkodás szerves része. Az 1948-as demokratikus alkotmány keletkezésekor a szociális jogok rész kidolgozója és szorgalmazója volt. Az Akciópárt egyik meghatározó személyiségeként a politikai paletta demokratikus oldalán helyezkedett el, méltán nevezik őt is az „alkotmány atyjának”. Elméleti munkássága azonban ennél szerte ágazóbb. 2007-ben az örökösei által kiadott életműben felbukkan egy 1940-ben előadott jogbölcseleti témájú előadása, amely „Hit a jogban” címmel jelent meg. Ugyanakkor ezzel párhuzamosan keletkezett egy másik kisebb terjedelmű írása, a „Nincs szabadság legalitás nélkül”. Mindkét „mű” a </w:t>
      </w:r>
      <w:r w:rsidRPr="00740E29">
        <w:rPr>
          <w:rFonts w:ascii="Times New Roman" w:hAnsi="Times New Roman" w:cs="Times New Roman"/>
          <w:i/>
          <w:sz w:val="20"/>
        </w:rPr>
        <w:t>legalitás</w:t>
      </w:r>
      <w:r w:rsidRPr="00740E29">
        <w:rPr>
          <w:rFonts w:ascii="Times New Roman" w:hAnsi="Times New Roman" w:cs="Times New Roman"/>
          <w:sz w:val="20"/>
        </w:rPr>
        <w:t xml:space="preserve">, az </w:t>
      </w:r>
      <w:r w:rsidRPr="00740E29">
        <w:rPr>
          <w:rFonts w:ascii="Times New Roman" w:hAnsi="Times New Roman" w:cs="Times New Roman"/>
          <w:i/>
          <w:sz w:val="20"/>
        </w:rPr>
        <w:t>igazságosság</w:t>
      </w:r>
      <w:r w:rsidRPr="00740E29">
        <w:rPr>
          <w:rFonts w:ascii="Times New Roman" w:hAnsi="Times New Roman" w:cs="Times New Roman"/>
          <w:sz w:val="20"/>
        </w:rPr>
        <w:t xml:space="preserve"> és a </w:t>
      </w:r>
      <w:r w:rsidRPr="00740E29">
        <w:rPr>
          <w:rFonts w:ascii="Times New Roman" w:hAnsi="Times New Roman" w:cs="Times New Roman"/>
          <w:i/>
          <w:sz w:val="20"/>
        </w:rPr>
        <w:t xml:space="preserve">szabadság </w:t>
      </w:r>
      <w:r w:rsidRPr="00740E29">
        <w:rPr>
          <w:rFonts w:ascii="Times New Roman" w:hAnsi="Times New Roman" w:cs="Times New Roman"/>
          <w:sz w:val="20"/>
        </w:rPr>
        <w:t>kapcsolatrendszerében vizsgálja a jogász – elsősorban a jogalkalmazás – feladatát. Bár neve nagyobb részt ismeretlen, jogtudományi munkássága mégis érdeklődésre tarthat számot, hiszen a politikai rendszerváltás folyamatában, annak szemtanújaként, a demokratikus politikai intézményrendszer létrehozásában játszott szerepet politikusként és tudósként egyaránt.</w:t>
      </w:r>
    </w:p>
    <w:p w:rsidR="00B0689C" w:rsidRPr="00740E29" w:rsidRDefault="00B0689C" w:rsidP="0034063B">
      <w:pPr>
        <w:spacing w:after="0" w:line="276" w:lineRule="auto"/>
        <w:ind w:left="641" w:hanging="357"/>
        <w:rPr>
          <w:rFonts w:ascii="Times New Roman" w:hAnsi="Times New Roman" w:cs="Times New Roman"/>
          <w:sz w:val="20"/>
        </w:rPr>
      </w:pPr>
      <w:r w:rsidRPr="00740E29">
        <w:rPr>
          <w:rFonts w:ascii="Times New Roman" w:hAnsi="Times New Roman" w:cs="Times New Roman"/>
          <w:sz w:val="20"/>
        </w:rPr>
        <w:br w:type="page"/>
      </w:r>
    </w:p>
    <w:p w:rsidR="00B0689C" w:rsidRPr="00740E29" w:rsidRDefault="00B0689C" w:rsidP="0034063B">
      <w:pPr>
        <w:spacing w:line="276" w:lineRule="auto"/>
        <w:jc w:val="center"/>
        <w:rPr>
          <w:rFonts w:ascii="Times New Roman" w:hAnsi="Times New Roman" w:cs="Times New Roman"/>
          <w:b/>
          <w:bCs/>
          <w:sz w:val="20"/>
        </w:rPr>
      </w:pPr>
      <w:r w:rsidRPr="00740E29">
        <w:rPr>
          <w:rFonts w:ascii="Times New Roman" w:hAnsi="Times New Roman" w:cs="Times New Roman"/>
          <w:b/>
          <w:bCs/>
          <w:sz w:val="20"/>
        </w:rPr>
        <w:lastRenderedPageBreak/>
        <w:t>Jogértelmezési módszerek és a jogegység problémája</w:t>
      </w:r>
    </w:p>
    <w:p w:rsidR="00B0689C" w:rsidRPr="00740E29" w:rsidRDefault="00B0689C" w:rsidP="0034063B">
      <w:pPr>
        <w:spacing w:line="276" w:lineRule="auto"/>
        <w:jc w:val="center"/>
        <w:rPr>
          <w:rFonts w:ascii="Times New Roman" w:hAnsi="Times New Roman" w:cs="Times New Roman"/>
          <w:b/>
          <w:sz w:val="20"/>
        </w:rPr>
      </w:pPr>
    </w:p>
    <w:p w:rsidR="00B0689C" w:rsidRPr="00740E29" w:rsidRDefault="00B0689C" w:rsidP="0034063B">
      <w:pPr>
        <w:spacing w:line="276" w:lineRule="auto"/>
        <w:jc w:val="center"/>
        <w:rPr>
          <w:rFonts w:ascii="Times New Roman" w:hAnsi="Times New Roman" w:cs="Times New Roman"/>
          <w:b/>
          <w:i/>
          <w:sz w:val="20"/>
        </w:rPr>
      </w:pPr>
      <w:r w:rsidRPr="00740E29">
        <w:rPr>
          <w:rFonts w:ascii="Times New Roman" w:hAnsi="Times New Roman" w:cs="Times New Roman"/>
          <w:b/>
          <w:i/>
          <w:sz w:val="20"/>
        </w:rPr>
        <w:t>Ficsor Krisztina</w:t>
      </w:r>
    </w:p>
    <w:p w:rsidR="00B0689C" w:rsidRPr="00740E29" w:rsidRDefault="00B0689C" w:rsidP="0034063B">
      <w:pPr>
        <w:spacing w:line="276" w:lineRule="auto"/>
        <w:jc w:val="center"/>
        <w:rPr>
          <w:rFonts w:ascii="Times New Roman" w:hAnsi="Times New Roman" w:cs="Times New Roman"/>
          <w:b/>
          <w:bCs/>
          <w:sz w:val="20"/>
        </w:rPr>
      </w:pPr>
    </w:p>
    <w:p w:rsidR="00B0689C" w:rsidRPr="00740E29" w:rsidRDefault="00B0689C" w:rsidP="0034063B">
      <w:pPr>
        <w:spacing w:before="240" w:line="276" w:lineRule="auto"/>
        <w:jc w:val="both"/>
        <w:rPr>
          <w:rFonts w:ascii="Times New Roman" w:hAnsi="Times New Roman" w:cs="Times New Roman"/>
          <w:kern w:val="0"/>
          <w:sz w:val="20"/>
          <w14:ligatures w14:val="none"/>
        </w:rPr>
      </w:pPr>
      <w:r w:rsidRPr="00740E29">
        <w:rPr>
          <w:rFonts w:ascii="Times New Roman" w:hAnsi="Times New Roman" w:cs="Times New Roman"/>
          <w:sz w:val="20"/>
        </w:rPr>
        <w:t xml:space="preserve">Magyarország </w:t>
      </w:r>
      <w:r w:rsidRPr="00740E29">
        <w:rPr>
          <w:rFonts w:ascii="Times New Roman" w:hAnsi="Times New Roman" w:cs="Times New Roman"/>
          <w:kern w:val="0"/>
          <w:sz w:val="20"/>
          <w14:ligatures w14:val="none"/>
        </w:rPr>
        <w:t xml:space="preserve">Alaptörvényének 25. cikk (3) bekezdése szerint a Kúria a büntetőügyekben, a magánjogi és a közigazgatási jogvitákban való döntéshozatal mellett biztosítja a bíróságok jogalkalmazásának egységét, a bíróságokra kötelező jogegységi határozatot hoz. A magyar jogrendben megjelent egy viszonylag újnak tekinthető fogalom, a korlátozott precedensrendszer, amelynek keretében a Kúria alkotmányos feladata a jogállamiság (jogbiztonság) és a törvény előtti egyenlőség biztosításának jegyében az egységes jogalkalmazás, az ún. jogegység biztosítása. Ennek egyik eszköze a jogegységi panasz intézménye, amely egy önálló, sui generis eljárás, de speciális jogorvoslati eszköz is egyben. Ennek keretében a törvényben meghatározott jogosultak kérelmére a Kúria megvizsgálja, hogy a Kúria ítélkező tanácsa azonos jogkérdést felvető ügyekben azonos jogértelmezés mentén, azonos elvi tartalommal hozott-e döntést. Röviden: hasonló eseteket hasonló módon ítélt-e meg. </w:t>
      </w:r>
    </w:p>
    <w:p w:rsidR="00B0689C" w:rsidRPr="00740E29" w:rsidRDefault="00B0689C" w:rsidP="0034063B">
      <w:pPr>
        <w:spacing w:line="276" w:lineRule="auto"/>
        <w:jc w:val="both"/>
        <w:rPr>
          <w:rFonts w:ascii="Times New Roman" w:hAnsi="Times New Roman" w:cs="Times New Roman"/>
          <w:kern w:val="0"/>
          <w:sz w:val="20"/>
          <w14:ligatures w14:val="none"/>
        </w:rPr>
      </w:pPr>
      <w:r w:rsidRPr="00740E29">
        <w:rPr>
          <w:rFonts w:ascii="Times New Roman" w:hAnsi="Times New Roman" w:cs="Times New Roman"/>
          <w:kern w:val="0"/>
          <w:sz w:val="20"/>
          <w14:ligatures w14:val="none"/>
        </w:rPr>
        <w:t xml:space="preserve">A Kúria gyakorlatában eddig olyan jogegységi panasz határozat is született, amelyben a panaszos a bíróság által alkalmazott jogértelmezési módszer tekintetében állította, hogy a panasszal támadott kúriai határozat és a hivatkozott, korábban közzétett határozat egymástól eltér, ezért sérült a jogegység. A panasz előterjesztője szerint a korábban közzétett ítéletben a Kúria kifejezett törvényi rendelkezés hiányában is teret engedett egy bizonyos következtetésnek, míg a panasszal támadott határozatban a jogerős ítéletben foglalt jogértelmezést azért nem fogadta el a Kúria, mert az túllépett a törvény adta, nyelvtani értelmezés nyújtotta kereteken. </w:t>
      </w:r>
    </w:p>
    <w:p w:rsidR="00B0689C" w:rsidRPr="00740E29" w:rsidRDefault="00B0689C" w:rsidP="0034063B">
      <w:pPr>
        <w:spacing w:line="276" w:lineRule="auto"/>
        <w:jc w:val="both"/>
        <w:rPr>
          <w:rFonts w:ascii="Times New Roman" w:hAnsi="Times New Roman" w:cs="Times New Roman"/>
          <w:kern w:val="0"/>
          <w:sz w:val="20"/>
          <w14:ligatures w14:val="none"/>
        </w:rPr>
      </w:pPr>
      <w:r w:rsidRPr="00740E29">
        <w:rPr>
          <w:rFonts w:ascii="Times New Roman" w:hAnsi="Times New Roman" w:cs="Times New Roman"/>
          <w:kern w:val="0"/>
          <w:sz w:val="20"/>
          <w14:ligatures w14:val="none"/>
        </w:rPr>
        <w:t>A panaszban foglalt érvelés felveti a kérdést, hogy a jogegység megteremtésében a különböző jogértelmezési módszerek és azok bíróságok általi alkalmazása milyen szerepet játszanak. Az is elméleti kérdésként vethető fel, hogy a jogegység megteremtésének kötelezettségéből (amely során a Kúria megállapítja, hogy hasonló esetekben a jogértelmezés mely iránya kötelező a bíróságokra nézve) milyen kötelezettségek fogalmazhatók meg a jogértelmezés módszereinek alkalmazását illetően a Kúria számára. Ezek a kérdések visszavezethetők magának a jogértelmezés fogalmának és céljainak, illetve a jogértelmezés módszerei mögött meghúzódó igazolási elvek elméleti problémáihoz, amelyeket az előadásomban kívánok bővebben kifejteni.</w:t>
      </w:r>
    </w:p>
    <w:p w:rsidR="00B0689C" w:rsidRPr="00740E29" w:rsidRDefault="00B0689C" w:rsidP="0034063B">
      <w:pPr>
        <w:spacing w:line="276" w:lineRule="auto"/>
        <w:jc w:val="both"/>
        <w:rPr>
          <w:rFonts w:ascii="Times New Roman" w:hAnsi="Times New Roman" w:cs="Times New Roman"/>
          <w:kern w:val="0"/>
          <w:sz w:val="20"/>
          <w14:ligatures w14:val="none"/>
        </w:rPr>
      </w:pPr>
    </w:p>
    <w:p w:rsidR="00B0689C" w:rsidRPr="00740E29" w:rsidRDefault="00B0689C" w:rsidP="0034063B">
      <w:pPr>
        <w:spacing w:after="0" w:line="276" w:lineRule="auto"/>
        <w:ind w:left="641" w:hanging="357"/>
        <w:rPr>
          <w:rFonts w:ascii="Times New Roman" w:hAnsi="Times New Roman" w:cs="Times New Roman"/>
          <w:kern w:val="0"/>
          <w:sz w:val="20"/>
          <w14:ligatures w14:val="none"/>
        </w:rPr>
      </w:pPr>
      <w:r w:rsidRPr="00740E29">
        <w:rPr>
          <w:rFonts w:ascii="Times New Roman" w:hAnsi="Times New Roman" w:cs="Times New Roman"/>
          <w:kern w:val="0"/>
          <w:sz w:val="20"/>
          <w14:ligatures w14:val="none"/>
        </w:rPr>
        <w:br w:type="page"/>
      </w:r>
    </w:p>
    <w:p w:rsidR="00B0689C" w:rsidRPr="00740E29" w:rsidRDefault="00B0689C" w:rsidP="0034063B">
      <w:pPr>
        <w:spacing w:after="0" w:line="276" w:lineRule="auto"/>
        <w:jc w:val="center"/>
        <w:rPr>
          <w:rFonts w:ascii="Times New Roman" w:hAnsi="Times New Roman" w:cs="Times New Roman"/>
          <w:b/>
          <w:sz w:val="20"/>
        </w:rPr>
      </w:pPr>
      <w:r w:rsidRPr="00740E29">
        <w:rPr>
          <w:rFonts w:ascii="Times New Roman" w:hAnsi="Times New Roman" w:cs="Times New Roman"/>
          <w:b/>
          <w:sz w:val="20"/>
        </w:rPr>
        <w:lastRenderedPageBreak/>
        <w:t>Természetjog, konstitutív retorika és a jog természete A gyűrűk urában</w:t>
      </w:r>
    </w:p>
    <w:p w:rsidR="00B0689C" w:rsidRPr="00740E29" w:rsidRDefault="00B0689C" w:rsidP="0034063B">
      <w:pPr>
        <w:spacing w:after="0" w:line="276" w:lineRule="auto"/>
        <w:jc w:val="center"/>
        <w:rPr>
          <w:rFonts w:ascii="Times New Roman" w:hAnsi="Times New Roman" w:cs="Times New Roman"/>
          <w:sz w:val="20"/>
        </w:rPr>
      </w:pPr>
    </w:p>
    <w:p w:rsidR="00B0689C" w:rsidRPr="00740E29" w:rsidRDefault="00B0689C" w:rsidP="0034063B">
      <w:pPr>
        <w:spacing w:after="0" w:line="276" w:lineRule="auto"/>
        <w:jc w:val="center"/>
        <w:rPr>
          <w:rFonts w:ascii="Times New Roman" w:hAnsi="Times New Roman" w:cs="Times New Roman"/>
          <w:b/>
          <w:i/>
          <w:sz w:val="20"/>
        </w:rPr>
      </w:pPr>
      <w:r w:rsidRPr="00740E29">
        <w:rPr>
          <w:rFonts w:ascii="Times New Roman" w:hAnsi="Times New Roman" w:cs="Times New Roman"/>
          <w:b/>
          <w:i/>
          <w:sz w:val="20"/>
        </w:rPr>
        <w:t>H. Szilágyi István</w:t>
      </w:r>
    </w:p>
    <w:p w:rsidR="00B0689C" w:rsidRPr="00740E29" w:rsidRDefault="00B0689C" w:rsidP="0034063B">
      <w:pPr>
        <w:spacing w:after="0" w:line="276" w:lineRule="auto"/>
        <w:jc w:val="center"/>
        <w:rPr>
          <w:rFonts w:ascii="Times New Roman" w:hAnsi="Times New Roman" w:cs="Times New Roman"/>
          <w:sz w:val="20"/>
        </w:rPr>
      </w:pPr>
    </w:p>
    <w:p w:rsidR="00B0689C" w:rsidRPr="00740E29" w:rsidRDefault="00B0689C" w:rsidP="0034063B">
      <w:pPr>
        <w:spacing w:before="240" w:after="0" w:line="276" w:lineRule="auto"/>
        <w:jc w:val="both"/>
        <w:rPr>
          <w:rFonts w:ascii="Times New Roman" w:hAnsi="Times New Roman" w:cs="Times New Roman"/>
          <w:sz w:val="20"/>
        </w:rPr>
      </w:pPr>
      <w:r w:rsidRPr="00740E29">
        <w:rPr>
          <w:rFonts w:ascii="Times New Roman" w:hAnsi="Times New Roman" w:cs="Times New Roman"/>
          <w:sz w:val="20"/>
        </w:rPr>
        <w:t>J. R. R. Tolkien remekművének nevelési potenciálját a „leendő jogászok” erkölcsi és jogi szocializációjának folyamatában korábban már bemutattam egy A Gyűrűk Ura politikai és jogfilozófiai rétegeit feltáró esszében. Értékeit tekintve hangsúlyoztam, hogy a mű a hagyományos óangol és kelta mitológiai anyagot meséli újra, amely egy hősi értékrendet fejez ki modern módon, a keresztény-humanista értékek, például az együttérzés, a megbocsátás és a nagylelkűség által inspirálva. Emellett a világunk jövőjéért és a természet értékeinek megőrzéséért való felelősségvállalás olyan eszmék, melyek hosszú távon a fiatal jogászok következő generációi számára is aktuális jelentőséggel bírnak.</w:t>
      </w:r>
    </w:p>
    <w:p w:rsidR="00B0689C" w:rsidRPr="00740E29" w:rsidRDefault="00B0689C" w:rsidP="0034063B">
      <w:pPr>
        <w:spacing w:before="240" w:after="0" w:line="276" w:lineRule="auto"/>
        <w:jc w:val="both"/>
        <w:rPr>
          <w:rFonts w:ascii="Times New Roman" w:hAnsi="Times New Roman" w:cs="Times New Roman"/>
          <w:sz w:val="20"/>
        </w:rPr>
      </w:pPr>
      <w:r w:rsidRPr="00740E29">
        <w:rPr>
          <w:rFonts w:ascii="Times New Roman" w:hAnsi="Times New Roman" w:cs="Times New Roman"/>
          <w:sz w:val="20"/>
        </w:rPr>
        <w:t>Jelen előadás arra a problémára összpontosít, hogy miként jelenik meg a jog a „természeti állapotban”, és mit tudhatunk meg a regényből annak jellemzőiről. A jogról csak néhány oldalon, szórványos megjegyzésekben olvashatunk. Ráadásul a jog csak néhány jelenetben játszik fontos szerepet. Pedig ezek a töredékes utalások szervesen és koherensen illeszkednek a mű tágabb politikai-filozófiai keretébe, és valóban sokat megtudhatunk belőlük a jog természetéről.</w:t>
      </w:r>
    </w:p>
    <w:p w:rsidR="00B0689C" w:rsidRPr="00740E29" w:rsidRDefault="00B0689C" w:rsidP="0034063B">
      <w:pPr>
        <w:spacing w:before="240" w:after="0" w:line="276" w:lineRule="auto"/>
        <w:jc w:val="both"/>
        <w:rPr>
          <w:rFonts w:ascii="Times New Roman" w:hAnsi="Times New Roman" w:cs="Times New Roman"/>
          <w:sz w:val="20"/>
        </w:rPr>
      </w:pPr>
      <w:r w:rsidRPr="00740E29">
        <w:rPr>
          <w:rFonts w:ascii="Times New Roman" w:hAnsi="Times New Roman" w:cs="Times New Roman"/>
          <w:sz w:val="20"/>
        </w:rPr>
        <w:t xml:space="preserve">Először is a „természeti állapot” leírását megvilágítja a Locke-i koncepcióval való összehasonlítás. Három jogi epizód vizsgálata után bebizonyosodik, hogy a természeti állapotban a jog igazi alapja nem az erőre és félelemre támaszkodó hatalom, hanem egyrészt a személyes kiválóságból és karizmából, másrészt a meggyőzés művészetéből, a retorikából fakadó tekintély. Ami ez utóbbit illeti, az előadás a regényből vett példák elemzésén keresztül igyekszik bemutatni, hogy hogyan működik a – a James Boyd White-tól kölcsönzött fogalommal élve – </w:t>
      </w:r>
      <w:r w:rsidRPr="00740E29">
        <w:rPr>
          <w:rFonts w:ascii="Times New Roman" w:hAnsi="Times New Roman" w:cs="Times New Roman"/>
          <w:sz w:val="20"/>
        </w:rPr>
        <w:softHyphen/>
        <w:t>„konstitutív retorika”.</w:t>
      </w:r>
    </w:p>
    <w:p w:rsidR="00B0689C" w:rsidRPr="00740E29" w:rsidRDefault="00B0689C" w:rsidP="0034063B">
      <w:pPr>
        <w:spacing w:before="240" w:after="0" w:line="276" w:lineRule="auto"/>
        <w:jc w:val="both"/>
        <w:rPr>
          <w:rFonts w:ascii="Times New Roman" w:hAnsi="Times New Roman" w:cs="Times New Roman"/>
          <w:sz w:val="20"/>
        </w:rPr>
      </w:pPr>
      <w:r w:rsidRPr="00740E29">
        <w:rPr>
          <w:rFonts w:ascii="Times New Roman" w:hAnsi="Times New Roman" w:cs="Times New Roman"/>
          <w:sz w:val="20"/>
        </w:rPr>
        <w:t>A konklúzióban az előadás amellett érvel, hogy Tolkien elképzelései szerint, amikor az emberiség kilép a „természeti állapotból”, nem a jog természete, hanem a hatalom lényege változik meg: az önkényes, zsarnoki hatalom helyébe a törvényes hatalom lép, és mivel a jog alapja az igazságosság és az erény, a törvényes hatalom ezért erkölcsileg igazolt hatalmat jelent.</w:t>
      </w:r>
    </w:p>
    <w:p w:rsidR="00B0689C" w:rsidRPr="00740E29" w:rsidRDefault="00B0689C" w:rsidP="0034063B">
      <w:pPr>
        <w:spacing w:line="276" w:lineRule="auto"/>
        <w:jc w:val="both"/>
        <w:rPr>
          <w:rFonts w:ascii="Times New Roman" w:hAnsi="Times New Roman" w:cs="Times New Roman"/>
          <w:sz w:val="20"/>
        </w:rPr>
      </w:pPr>
    </w:p>
    <w:p w:rsidR="00B0689C" w:rsidRPr="00740E29" w:rsidRDefault="00B0689C" w:rsidP="0034063B">
      <w:pPr>
        <w:spacing w:line="276" w:lineRule="auto"/>
        <w:jc w:val="both"/>
        <w:rPr>
          <w:rFonts w:ascii="Times New Roman" w:hAnsi="Times New Roman" w:cs="Times New Roman"/>
          <w:sz w:val="20"/>
        </w:rPr>
      </w:pPr>
    </w:p>
    <w:p w:rsidR="00B0689C" w:rsidRPr="00740E29" w:rsidRDefault="00B0689C" w:rsidP="0034063B">
      <w:pPr>
        <w:spacing w:after="0" w:line="276" w:lineRule="auto"/>
        <w:ind w:left="641" w:hanging="357"/>
        <w:rPr>
          <w:rFonts w:ascii="Times New Roman" w:hAnsi="Times New Roman" w:cs="Times New Roman"/>
          <w:sz w:val="20"/>
        </w:rPr>
      </w:pPr>
      <w:r w:rsidRPr="00740E29">
        <w:rPr>
          <w:rFonts w:ascii="Times New Roman" w:hAnsi="Times New Roman" w:cs="Times New Roman"/>
          <w:sz w:val="20"/>
        </w:rPr>
        <w:br w:type="page"/>
      </w:r>
    </w:p>
    <w:p w:rsidR="00B0689C" w:rsidRPr="00740E29" w:rsidRDefault="00B0689C" w:rsidP="0034063B">
      <w:pPr>
        <w:spacing w:after="0" w:line="276" w:lineRule="auto"/>
        <w:jc w:val="center"/>
        <w:rPr>
          <w:rFonts w:ascii="Times New Roman" w:hAnsi="Times New Roman" w:cs="Times New Roman"/>
          <w:b/>
          <w:bCs/>
          <w:sz w:val="20"/>
        </w:rPr>
      </w:pPr>
      <w:r w:rsidRPr="00740E29">
        <w:rPr>
          <w:rFonts w:ascii="Times New Roman" w:hAnsi="Times New Roman" w:cs="Times New Roman"/>
          <w:b/>
          <w:bCs/>
          <w:sz w:val="20"/>
        </w:rPr>
        <w:lastRenderedPageBreak/>
        <w:t>Integráció a jogi oktatásban</w:t>
      </w:r>
    </w:p>
    <w:p w:rsidR="00B0689C" w:rsidRPr="00740E29" w:rsidRDefault="00B0689C" w:rsidP="0034063B">
      <w:pPr>
        <w:spacing w:after="0" w:line="276" w:lineRule="auto"/>
        <w:jc w:val="center"/>
        <w:rPr>
          <w:rFonts w:ascii="Times New Roman" w:hAnsi="Times New Roman" w:cs="Times New Roman"/>
          <w:b/>
          <w:bCs/>
          <w:sz w:val="20"/>
        </w:rPr>
      </w:pPr>
      <w:r w:rsidRPr="00740E29">
        <w:rPr>
          <w:rFonts w:ascii="Times New Roman" w:hAnsi="Times New Roman" w:cs="Times New Roman"/>
          <w:b/>
          <w:bCs/>
          <w:sz w:val="20"/>
        </w:rPr>
        <w:t>(Az elmélet és a gyakorlat kettősségének problematikája)</w:t>
      </w:r>
    </w:p>
    <w:p w:rsidR="00B0689C" w:rsidRPr="00740E29" w:rsidRDefault="00B0689C" w:rsidP="0034063B">
      <w:pPr>
        <w:spacing w:after="0" w:line="276" w:lineRule="auto"/>
        <w:jc w:val="center"/>
        <w:rPr>
          <w:rFonts w:ascii="Times New Roman" w:hAnsi="Times New Roman" w:cs="Times New Roman"/>
          <w:sz w:val="20"/>
        </w:rPr>
      </w:pPr>
    </w:p>
    <w:p w:rsidR="00B0689C" w:rsidRPr="00740E29" w:rsidRDefault="00B0689C" w:rsidP="0034063B">
      <w:pPr>
        <w:spacing w:after="0" w:line="276" w:lineRule="auto"/>
        <w:jc w:val="center"/>
        <w:rPr>
          <w:rFonts w:ascii="Times New Roman" w:hAnsi="Times New Roman" w:cs="Times New Roman"/>
          <w:b/>
          <w:i/>
          <w:sz w:val="20"/>
        </w:rPr>
      </w:pPr>
      <w:r w:rsidRPr="00740E29">
        <w:rPr>
          <w:rFonts w:ascii="Times New Roman" w:hAnsi="Times New Roman" w:cs="Times New Roman"/>
          <w:b/>
          <w:i/>
          <w:sz w:val="20"/>
        </w:rPr>
        <w:t>Nagy Zsolt</w:t>
      </w:r>
    </w:p>
    <w:p w:rsidR="00B0689C" w:rsidRPr="00740E29" w:rsidRDefault="00B0689C" w:rsidP="0034063B">
      <w:pPr>
        <w:spacing w:after="0" w:line="276" w:lineRule="auto"/>
        <w:jc w:val="center"/>
        <w:rPr>
          <w:rFonts w:ascii="Times New Roman" w:hAnsi="Times New Roman" w:cs="Times New Roman"/>
          <w:sz w:val="20"/>
        </w:rPr>
      </w:pPr>
    </w:p>
    <w:p w:rsidR="00B0689C" w:rsidRPr="00740E29" w:rsidRDefault="00B0689C" w:rsidP="0034063B">
      <w:pPr>
        <w:pStyle w:val="Zld"/>
        <w:spacing w:before="240" w:line="276" w:lineRule="auto"/>
        <w:ind w:firstLine="0"/>
        <w:rPr>
          <w:sz w:val="20"/>
          <w:szCs w:val="22"/>
        </w:rPr>
      </w:pPr>
      <w:r w:rsidRPr="00740E29">
        <w:rPr>
          <w:sz w:val="20"/>
          <w:szCs w:val="22"/>
        </w:rPr>
        <w:t xml:space="preserve">A jogi oktatásban az elmélet-gyakorlat integrálásának vizsgálatánál talán abból az egyszerű tényből indulhatunk ki, hogy mind a praktikus, mind a diszciplináris ismeretek átadása ugyanazt a célt szolgálja: </w:t>
      </w:r>
      <w:r w:rsidRPr="00740E29">
        <w:rPr>
          <w:i/>
          <w:sz w:val="20"/>
          <w:szCs w:val="22"/>
        </w:rPr>
        <w:t>a jogi diszkurzív közegbe kerülést</w:t>
      </w:r>
      <w:r w:rsidRPr="00740E29">
        <w:rPr>
          <w:sz w:val="20"/>
          <w:szCs w:val="22"/>
        </w:rPr>
        <w:t xml:space="preserve">; a jogi diskurzus nem vákuumban létezik, hanem annak </w:t>
      </w:r>
      <w:r w:rsidRPr="00740E29">
        <w:rPr>
          <w:i/>
          <w:sz w:val="20"/>
          <w:szCs w:val="22"/>
        </w:rPr>
        <w:t>a jogi kultúra</w:t>
      </w:r>
      <w:r w:rsidRPr="00740E29">
        <w:rPr>
          <w:sz w:val="20"/>
          <w:szCs w:val="22"/>
        </w:rPr>
        <w:t xml:space="preserve"> a környezete, s minden jogi aktus, a jogi nyelv, etc. megértése elkerülhetetlen a jogi kultúrára történő szocializáció nélkül. Márpedig a jogi kultúra nem látható át a mindennapi esetek nélkül, de nem érthető meg a kultúrát átható, és az esetek megoldásait vezérlő elvek nélkül sem, ám nemcsak a transzferabilitás biztosítottabb bizonyos esetekben az integrált képzésben, hanem a kettő szorosan egymásra is utalt, nélkülözhetetlen kiegészítői egymásnak. Ahogy ezt </w:t>
      </w:r>
      <w:r w:rsidRPr="00740E29">
        <w:rPr>
          <w:i/>
          <w:sz w:val="20"/>
          <w:szCs w:val="22"/>
        </w:rPr>
        <w:t>John Dewey</w:t>
      </w:r>
      <w:r w:rsidRPr="00740E29">
        <w:rPr>
          <w:sz w:val="20"/>
          <w:szCs w:val="22"/>
        </w:rPr>
        <w:t xml:space="preserve"> már a múlt század első felében nyilvánvalóvá tette: „az általános jogi szabályok, elvek működő hipotézisek, melyeket oly módon szükséges állandóan tesztelni, hogy explicitté váljanak a konkrét szituációkhoz való alkalmazás során”.</w:t>
      </w:r>
      <w:r w:rsidRPr="00740E29">
        <w:rPr>
          <w:rStyle w:val="Lbjegyzet-hivatkozs"/>
          <w:sz w:val="20"/>
          <w:szCs w:val="22"/>
        </w:rPr>
        <w:footnoteReference w:id="1"/>
      </w:r>
      <w:r w:rsidRPr="00740E29">
        <w:rPr>
          <w:sz w:val="20"/>
          <w:szCs w:val="22"/>
        </w:rPr>
        <w:t xml:space="preserve"> Mint a jogi praxisban, ahol a jogi professzió tagjai egyrészt a tényállásoknak a szabályokhoz való szubszumálását végzik, másrészt a kliensek többnyire komplex, több jogi diszciplínát érintő problémájával találják szemben magukat. Ez utóbbi nemcsak az elmélet-gyakorlat, hanem az interdiszciplináris integráció szükségességére is rámutathat; vagyis inkább </w:t>
      </w:r>
      <w:r w:rsidRPr="00740E29">
        <w:rPr>
          <w:i/>
          <w:sz w:val="20"/>
          <w:szCs w:val="22"/>
        </w:rPr>
        <w:t>az elméletek, a gyakorlat és a dogmák, doktrínák integrációjáról</w:t>
      </w:r>
      <w:r w:rsidRPr="00740E29">
        <w:rPr>
          <w:sz w:val="20"/>
          <w:szCs w:val="22"/>
        </w:rPr>
        <w:t xml:space="preserve"> beszélhetnénk: az egyes konkrét esetekkel való szembekerülés során a teória biztosítja az értékelési és kritikai képességet.</w:t>
      </w:r>
    </w:p>
    <w:p w:rsidR="00B0689C" w:rsidRPr="00740E29" w:rsidRDefault="00B0689C" w:rsidP="0034063B">
      <w:pPr>
        <w:spacing w:after="0" w:line="276" w:lineRule="auto"/>
        <w:ind w:left="641" w:hanging="357"/>
        <w:rPr>
          <w:rFonts w:ascii="Times New Roman" w:hAnsi="Times New Roman" w:cs="Times New Roman"/>
          <w:sz w:val="20"/>
          <w:lang w:val="hu-HU"/>
        </w:rPr>
      </w:pPr>
      <w:r w:rsidRPr="00740E29">
        <w:rPr>
          <w:rFonts w:ascii="Times New Roman" w:hAnsi="Times New Roman" w:cs="Times New Roman"/>
          <w:sz w:val="20"/>
          <w:lang w:val="hu-HU"/>
        </w:rPr>
        <w:br w:type="page"/>
      </w:r>
    </w:p>
    <w:p w:rsidR="00DD7159" w:rsidRPr="00740E29" w:rsidRDefault="00DD7159" w:rsidP="0034063B">
      <w:pPr>
        <w:spacing w:after="0" w:line="276" w:lineRule="auto"/>
        <w:jc w:val="center"/>
        <w:rPr>
          <w:rFonts w:ascii="Times New Roman" w:hAnsi="Times New Roman" w:cs="Times New Roman"/>
          <w:b/>
          <w:i/>
          <w:sz w:val="20"/>
        </w:rPr>
      </w:pPr>
    </w:p>
    <w:p w:rsidR="00DD7159" w:rsidRPr="00740E29" w:rsidRDefault="00DD7159" w:rsidP="0034063B">
      <w:pPr>
        <w:spacing w:after="0" w:line="276" w:lineRule="auto"/>
        <w:jc w:val="center"/>
        <w:rPr>
          <w:rFonts w:ascii="Times New Roman" w:eastAsia="Times New Roman" w:hAnsi="Times New Roman" w:cs="Times New Roman"/>
          <w:b/>
          <w:color w:val="2C363A"/>
          <w:sz w:val="20"/>
          <w:lang w:eastAsia="hu-HU"/>
        </w:rPr>
      </w:pPr>
      <w:r w:rsidRPr="00740E29">
        <w:rPr>
          <w:rFonts w:ascii="Times New Roman" w:eastAsia="Times New Roman" w:hAnsi="Times New Roman" w:cs="Times New Roman"/>
          <w:b/>
          <w:color w:val="2C363A"/>
          <w:sz w:val="20"/>
          <w:lang w:eastAsia="hu-HU"/>
        </w:rPr>
        <w:t>Precedensek és érvelési szokások a jogi kultúrában - Az ún. korlátozott precedensrendszer jelene (és jövője) a hazai bírósági gyakorlatban</w:t>
      </w:r>
    </w:p>
    <w:p w:rsidR="00DD7159" w:rsidRPr="00740E29" w:rsidRDefault="00DD7159" w:rsidP="0034063B">
      <w:pPr>
        <w:spacing w:after="0" w:line="276" w:lineRule="auto"/>
        <w:jc w:val="center"/>
        <w:rPr>
          <w:rFonts w:ascii="Times New Roman" w:eastAsia="Times New Roman" w:hAnsi="Times New Roman" w:cs="Times New Roman"/>
          <w:b/>
          <w:color w:val="2C363A"/>
          <w:sz w:val="20"/>
          <w:lang w:eastAsia="hu-HU"/>
        </w:rPr>
      </w:pPr>
    </w:p>
    <w:p w:rsidR="00DD7159" w:rsidRPr="00740E29" w:rsidRDefault="00DD7159" w:rsidP="0034063B">
      <w:pPr>
        <w:spacing w:after="0" w:line="276" w:lineRule="auto"/>
        <w:jc w:val="center"/>
        <w:rPr>
          <w:rFonts w:ascii="Times New Roman" w:hAnsi="Times New Roman" w:cs="Times New Roman"/>
          <w:b/>
          <w:i/>
          <w:sz w:val="20"/>
        </w:rPr>
      </w:pPr>
    </w:p>
    <w:p w:rsidR="00B0689C" w:rsidRPr="00740E29" w:rsidRDefault="00B0689C" w:rsidP="0034063B">
      <w:pPr>
        <w:spacing w:after="0" w:line="276" w:lineRule="auto"/>
        <w:jc w:val="center"/>
        <w:rPr>
          <w:rFonts w:ascii="Times New Roman" w:hAnsi="Times New Roman" w:cs="Times New Roman"/>
          <w:b/>
          <w:i/>
          <w:sz w:val="20"/>
        </w:rPr>
      </w:pPr>
      <w:r w:rsidRPr="00740E29">
        <w:rPr>
          <w:rFonts w:ascii="Times New Roman" w:hAnsi="Times New Roman" w:cs="Times New Roman"/>
          <w:b/>
          <w:i/>
          <w:sz w:val="20"/>
        </w:rPr>
        <w:t>Pődör Lea</w:t>
      </w:r>
    </w:p>
    <w:p w:rsidR="00B0689C" w:rsidRPr="00740E29" w:rsidRDefault="00B0689C" w:rsidP="0034063B">
      <w:pPr>
        <w:spacing w:after="0" w:line="276" w:lineRule="auto"/>
        <w:jc w:val="center"/>
        <w:rPr>
          <w:rFonts w:ascii="Times New Roman" w:hAnsi="Times New Roman" w:cs="Times New Roman"/>
          <w:b/>
          <w:i/>
          <w:sz w:val="20"/>
        </w:rPr>
      </w:pPr>
    </w:p>
    <w:p w:rsidR="00DD7159" w:rsidRPr="00740E29" w:rsidRDefault="00DD7159" w:rsidP="00DD7159">
      <w:pPr>
        <w:spacing w:after="0" w:line="276" w:lineRule="auto"/>
        <w:jc w:val="both"/>
        <w:rPr>
          <w:rFonts w:ascii="Times New Roman" w:hAnsi="Times New Roman" w:cs="Times New Roman"/>
          <w:b/>
          <w:i/>
          <w:sz w:val="20"/>
        </w:rPr>
      </w:pPr>
      <w:r w:rsidRPr="00740E29">
        <w:rPr>
          <w:rFonts w:ascii="Times New Roman" w:eastAsia="Times New Roman" w:hAnsi="Times New Roman" w:cs="Times New Roman"/>
          <w:color w:val="2C363A"/>
          <w:sz w:val="20"/>
          <w:lang w:eastAsia="hu-HU"/>
        </w:rPr>
        <w:t>Előadásomban a precedensek szerepét vizsgálom az ítélkezésben, s célom az, hogy a Magyarországon nemrégiben bevezetett ún. korlátozott precedensrendszer intézményét és rendeltetését, illetve lehetséges fejlesztési irányát (irányait) feltárjam. A vállalás megkívánja, hogy első lépésben az angolszász és a kontinentális jogi érvelés sajátosságai kerüljenek elemzésre, így tisztázva a két jogi kultúra által felmutatott hasonló és eltérő jegyeket. E kérdésben fontos kitérni azokra az intézményekre is, amelyek közös nevezői lehetnek a bírói jogalkalmazásnak (pl. a formalizmus problémája, az esetnorma, a verba és a ratio kettőssége, stb.). Ezen kérdések megvilágítása után a hazai jogi kultúra precedensekhez való viszonyát tisztázom; a 2020-ban bevezetett ún. korlátozott precedensrendszer nem új megoldás, az egységes ítélkezés e különleges eszköz révén való biztosítása már többféle arcát megmutatta, ugyanakkor e régi-új intézmény neve (korlátozott precedensrendszer) sok vitát generált már a gyakorló és az elméleti jogászok között. A jelenség hazai joggyakorlatba való beágyazódása sikerének, hatékonyságának kimutatása még időt igényel, de talán már most is számba lehet venni az elképzelés mögött meghúzódó elvárásokat. A rendszer működésének egyik alapköve a jogegységi panasz eljárás – előadásomban ehhez kapcsolódva, egy nemrégiben született határozattal szeretnék példát hozni a hazai precedensek megjelenésének lehetőségére, mely eseten keresztül reményeim szerint az is demonstrálható, hogy hatott-e, vagy egyáltalán hathat-e az angolszász jogi gondolkodás által létrehozott precedensjelenség a hazai joggyakorlatra, s egyáltalán milyen reális elvárásokat fogalmazhatunk meg a precedensek hazai térnyerésével kapcsolatban.</w:t>
      </w:r>
    </w:p>
    <w:p w:rsidR="00B0689C" w:rsidRPr="00740E29" w:rsidRDefault="00B0689C" w:rsidP="0034063B">
      <w:pPr>
        <w:spacing w:line="276" w:lineRule="auto"/>
        <w:jc w:val="both"/>
        <w:rPr>
          <w:rFonts w:ascii="Times New Roman" w:hAnsi="Times New Roman" w:cs="Times New Roman"/>
          <w:sz w:val="20"/>
        </w:rPr>
      </w:pPr>
    </w:p>
    <w:p w:rsidR="00B0689C" w:rsidRPr="00740E29" w:rsidRDefault="00B0689C" w:rsidP="0034063B">
      <w:pPr>
        <w:spacing w:after="0" w:line="276" w:lineRule="auto"/>
        <w:ind w:left="641" w:hanging="357"/>
        <w:rPr>
          <w:rFonts w:ascii="Times New Roman" w:hAnsi="Times New Roman" w:cs="Times New Roman"/>
          <w:sz w:val="20"/>
        </w:rPr>
      </w:pPr>
      <w:r w:rsidRPr="00740E29">
        <w:rPr>
          <w:rFonts w:ascii="Times New Roman" w:hAnsi="Times New Roman" w:cs="Times New Roman"/>
          <w:sz w:val="20"/>
        </w:rPr>
        <w:br w:type="page"/>
      </w:r>
    </w:p>
    <w:p w:rsidR="00B0689C" w:rsidRPr="00740E29" w:rsidRDefault="00B0689C" w:rsidP="0034063B">
      <w:pPr>
        <w:spacing w:after="0" w:line="276" w:lineRule="auto"/>
        <w:jc w:val="center"/>
        <w:rPr>
          <w:rFonts w:ascii="Times New Roman" w:hAnsi="Times New Roman" w:cs="Times New Roman"/>
          <w:b/>
          <w:color w:val="000000"/>
          <w:sz w:val="20"/>
          <w:shd w:val="clear" w:color="auto" w:fill="FFFFFF"/>
        </w:rPr>
      </w:pPr>
    </w:p>
    <w:p w:rsidR="00DD7159" w:rsidRPr="00740E29" w:rsidRDefault="00DD7159" w:rsidP="0034063B">
      <w:pPr>
        <w:spacing w:after="0" w:line="276" w:lineRule="auto"/>
        <w:jc w:val="center"/>
        <w:rPr>
          <w:rFonts w:ascii="Times New Roman" w:hAnsi="Times New Roman" w:cs="Times New Roman"/>
          <w:b/>
          <w:i/>
          <w:color w:val="000000"/>
          <w:sz w:val="20"/>
          <w:shd w:val="clear" w:color="auto" w:fill="FFFFFF"/>
        </w:rPr>
      </w:pPr>
      <w:r w:rsidRPr="00740E29">
        <w:rPr>
          <w:rFonts w:ascii="Times New Roman" w:hAnsi="Times New Roman" w:cs="Times New Roman"/>
          <w:b/>
          <w:color w:val="000000"/>
          <w:sz w:val="20"/>
          <w:shd w:val="clear" w:color="auto" w:fill="FFFFFF"/>
        </w:rPr>
        <w:t>A könnyű és nehéz esetek közötti differenciáló megközelítés: a normálforma beiktatása</w:t>
      </w:r>
    </w:p>
    <w:p w:rsidR="00DD7159" w:rsidRPr="00740E29" w:rsidRDefault="00DD7159" w:rsidP="0034063B">
      <w:pPr>
        <w:spacing w:after="0" w:line="276" w:lineRule="auto"/>
        <w:jc w:val="center"/>
        <w:rPr>
          <w:rFonts w:ascii="Times New Roman" w:hAnsi="Times New Roman" w:cs="Times New Roman"/>
          <w:b/>
          <w:i/>
          <w:color w:val="000000"/>
          <w:sz w:val="20"/>
          <w:shd w:val="clear" w:color="auto" w:fill="FFFFFF"/>
        </w:rPr>
      </w:pPr>
    </w:p>
    <w:p w:rsidR="00B0689C" w:rsidRPr="00740E29" w:rsidRDefault="00B0689C" w:rsidP="0034063B">
      <w:pPr>
        <w:spacing w:after="0" w:line="276" w:lineRule="auto"/>
        <w:jc w:val="center"/>
        <w:rPr>
          <w:rFonts w:ascii="Times New Roman" w:hAnsi="Times New Roman" w:cs="Times New Roman"/>
          <w:b/>
          <w:i/>
          <w:color w:val="000000"/>
          <w:sz w:val="20"/>
          <w:shd w:val="clear" w:color="auto" w:fill="FFFFFF"/>
        </w:rPr>
      </w:pPr>
      <w:r w:rsidRPr="00740E29">
        <w:rPr>
          <w:rFonts w:ascii="Times New Roman" w:hAnsi="Times New Roman" w:cs="Times New Roman"/>
          <w:b/>
          <w:i/>
          <w:color w:val="000000"/>
          <w:sz w:val="20"/>
          <w:shd w:val="clear" w:color="auto" w:fill="FFFFFF"/>
        </w:rPr>
        <w:t>Szigeti Péter</w:t>
      </w:r>
    </w:p>
    <w:p w:rsidR="00B0689C" w:rsidRPr="00740E29" w:rsidRDefault="00B0689C" w:rsidP="0034063B">
      <w:pPr>
        <w:spacing w:after="0" w:line="276" w:lineRule="auto"/>
        <w:jc w:val="center"/>
        <w:rPr>
          <w:rFonts w:ascii="Times New Roman" w:hAnsi="Times New Roman" w:cs="Times New Roman"/>
          <w:color w:val="2C363A"/>
          <w:sz w:val="20"/>
          <w:shd w:val="clear" w:color="auto" w:fill="FFFFFF"/>
        </w:rPr>
      </w:pPr>
    </w:p>
    <w:p w:rsidR="00DD7159" w:rsidRPr="00740E29" w:rsidRDefault="00DD7159" w:rsidP="0034063B">
      <w:pPr>
        <w:spacing w:after="0" w:line="276" w:lineRule="auto"/>
        <w:ind w:left="641" w:hanging="357"/>
        <w:rPr>
          <w:rFonts w:ascii="Times New Roman" w:hAnsi="Times New Roman" w:cs="Times New Roman"/>
          <w:sz w:val="20"/>
        </w:rPr>
      </w:pPr>
    </w:p>
    <w:p w:rsidR="00DD7159" w:rsidRPr="00740E29" w:rsidRDefault="00DD7159" w:rsidP="00DD7159">
      <w:pPr>
        <w:spacing w:after="0" w:line="276" w:lineRule="auto"/>
        <w:ind w:left="284"/>
        <w:jc w:val="both"/>
        <w:rPr>
          <w:rFonts w:ascii="Times New Roman" w:hAnsi="Times New Roman" w:cs="Times New Roman"/>
          <w:sz w:val="20"/>
        </w:rPr>
      </w:pPr>
      <w:r w:rsidRPr="00740E29">
        <w:rPr>
          <w:rFonts w:ascii="Times New Roman" w:hAnsi="Times New Roman" w:cs="Times New Roman"/>
          <w:sz w:val="20"/>
        </w:rPr>
        <w:t>M</w:t>
      </w:r>
      <w:r w:rsidRPr="00740E29">
        <w:rPr>
          <w:rFonts w:ascii="Times New Roman" w:hAnsi="Times New Roman" w:cs="Times New Roman"/>
          <w:color w:val="2C363A"/>
          <w:sz w:val="20"/>
          <w:shd w:val="clear" w:color="auto" w:fill="FFFFFF"/>
        </w:rPr>
        <w:t>inden eset egyedi volna és ezek között kezeljük a „hard cases”-t, ahogy erre több adekvát megoldás is született a jogelméletben vagy érdemes a könnyű és a nehéz esetek közé beiktatni egy normálformát? Az előadás az utóbbi, trialsta megoldás mellett érvel, kidolgozva ennek kritériumait.</w:t>
      </w:r>
    </w:p>
    <w:p w:rsidR="00DD7159" w:rsidRPr="00740E29" w:rsidRDefault="00DD7159">
      <w:pPr>
        <w:spacing w:after="0" w:line="240" w:lineRule="auto"/>
        <w:ind w:left="641" w:hanging="357"/>
        <w:rPr>
          <w:rFonts w:ascii="Times New Roman" w:eastAsia="Arial Unicode MS" w:hAnsi="Times New Roman" w:cs="Times New Roman"/>
          <w:b/>
          <w:kern w:val="0"/>
          <w:sz w:val="20"/>
          <w:lang w:eastAsia="zh-CN" w:bidi="hi-IN"/>
          <w14:ligatures w14:val="none"/>
        </w:rPr>
      </w:pPr>
      <w:r w:rsidRPr="00740E29">
        <w:rPr>
          <w:rFonts w:ascii="Times New Roman" w:hAnsi="Times New Roman" w:cs="Times New Roman"/>
          <w:b/>
          <w:sz w:val="20"/>
        </w:rPr>
        <w:br w:type="page"/>
      </w:r>
    </w:p>
    <w:p w:rsidR="00B0689C" w:rsidRPr="00740E29" w:rsidRDefault="00B0689C" w:rsidP="0034063B">
      <w:pPr>
        <w:pStyle w:val="Szvegtrzs"/>
        <w:spacing w:after="0" w:line="276" w:lineRule="auto"/>
        <w:jc w:val="center"/>
        <w:rPr>
          <w:rFonts w:ascii="Times New Roman" w:hAnsi="Times New Roman" w:cs="Times New Roman"/>
          <w:b/>
          <w:sz w:val="20"/>
          <w:szCs w:val="22"/>
          <w:lang w:val="pl-PL"/>
        </w:rPr>
      </w:pPr>
      <w:r w:rsidRPr="00740E29">
        <w:rPr>
          <w:rFonts w:ascii="Times New Roman" w:hAnsi="Times New Roman" w:cs="Times New Roman"/>
          <w:b/>
          <w:sz w:val="20"/>
          <w:szCs w:val="22"/>
          <w:lang w:val="pl-PL"/>
        </w:rPr>
        <w:lastRenderedPageBreak/>
        <w:t>Az érvelés nehézsége a polgári bíróság előtt</w:t>
      </w:r>
    </w:p>
    <w:p w:rsidR="00B0689C" w:rsidRPr="00740E29" w:rsidRDefault="00B0689C" w:rsidP="0034063B">
      <w:pPr>
        <w:pStyle w:val="Szvegtrzs"/>
        <w:spacing w:after="0" w:line="276" w:lineRule="auto"/>
        <w:jc w:val="center"/>
        <w:rPr>
          <w:rFonts w:ascii="Times New Roman" w:hAnsi="Times New Roman" w:cs="Times New Roman"/>
          <w:b/>
          <w:sz w:val="20"/>
          <w:szCs w:val="22"/>
          <w:lang w:val="pl-PL"/>
        </w:rPr>
      </w:pPr>
    </w:p>
    <w:p w:rsidR="00B0689C" w:rsidRPr="00740E29" w:rsidRDefault="00B0689C" w:rsidP="0034063B">
      <w:pPr>
        <w:pStyle w:val="Szvegtrzs"/>
        <w:spacing w:after="0" w:line="276" w:lineRule="auto"/>
        <w:jc w:val="center"/>
        <w:rPr>
          <w:rFonts w:ascii="Times New Roman" w:hAnsi="Times New Roman" w:cs="Times New Roman"/>
          <w:b/>
          <w:i/>
          <w:sz w:val="20"/>
          <w:szCs w:val="22"/>
          <w:lang w:val="pl-PL"/>
        </w:rPr>
      </w:pPr>
      <w:r w:rsidRPr="00740E29">
        <w:rPr>
          <w:rFonts w:ascii="Times New Roman" w:hAnsi="Times New Roman" w:cs="Times New Roman"/>
          <w:b/>
          <w:i/>
          <w:sz w:val="20"/>
          <w:szCs w:val="22"/>
          <w:lang w:val="pl-PL"/>
        </w:rPr>
        <w:t>Tímár Balázs</w:t>
      </w:r>
    </w:p>
    <w:p w:rsidR="00B0689C" w:rsidRPr="00740E29" w:rsidRDefault="00B0689C" w:rsidP="0034063B">
      <w:pPr>
        <w:pStyle w:val="Szvegtrzs"/>
        <w:spacing w:after="0" w:line="276" w:lineRule="auto"/>
        <w:jc w:val="center"/>
        <w:rPr>
          <w:rFonts w:ascii="Times New Roman" w:hAnsi="Times New Roman" w:cs="Times New Roman"/>
          <w:b/>
          <w:sz w:val="20"/>
          <w:szCs w:val="22"/>
          <w:lang w:val="pl-PL"/>
        </w:rPr>
      </w:pPr>
    </w:p>
    <w:p w:rsidR="00B0689C" w:rsidRPr="00740E29" w:rsidRDefault="00B0689C" w:rsidP="0034063B">
      <w:pPr>
        <w:pStyle w:val="Szvegtrzs"/>
        <w:spacing w:before="240" w:after="0" w:line="276" w:lineRule="auto"/>
        <w:jc w:val="both"/>
        <w:rPr>
          <w:rFonts w:ascii="Times New Roman" w:hAnsi="Times New Roman" w:cs="Times New Roman"/>
          <w:sz w:val="20"/>
          <w:szCs w:val="22"/>
          <w:lang w:val="pl-PL"/>
        </w:rPr>
      </w:pPr>
      <w:r w:rsidRPr="00740E29">
        <w:rPr>
          <w:rFonts w:ascii="Times New Roman" w:hAnsi="Times New Roman" w:cs="Times New Roman"/>
          <w:sz w:val="20"/>
          <w:szCs w:val="22"/>
          <w:lang w:val="pl-PL"/>
        </w:rPr>
        <w:t xml:space="preserve">A rendszerváltás gyökeres változást hozott a polgári perrendben, s nemcsak a kódexek szintjén, hanem az egyes eljárásokban. Alapvető különbség, hogy nincs védőbeszéd, s ritkábban van lehetőség úgynevezett összegző előadásra. A másik nagy talány a keresetlevél azon része, mely szerint tartalmaznia kell „az érvényesíteni kívánt jog, a tényállítás és a kereseti kérelem közötti összefüggés levezetésére vonatkozó jogi érvelést” is. Változó, hogy mely perben ez miként valósítható meg, s pontosan mit értünk alatta. Ebben hozott változást az új perrendtartás, hiszen a perfelvételi szakaszban tisztázza ugyan a bíróság a jogvita kereteit, ugyanakkor ‒ szemben a régi perrendtartással ‒ már korlátozottabbak a lehetőségek, hiszen ‒ céljaival ellentétesen ‒ az írásbeliség felé fordult a kódex. A polgári perjogi kurzusok, legyenek azok előadások vagy szemináriumok nem adnak támpontot a hallgatóknak ehhez, amiként hiányoznak a curriculumból azok a kurzusok is, amelyek a modern érveléstechnikát tanítanák, hiszen sem a cicerói, sem az egyéb antik érvelésnek helye nincs már, mi több, a képzés jellegéből fakadóan egyre csökken azon jogászok száma, akik képesek az analógia megfelelő alkalmazására, s egyre többünknek tűnik úgy, hogy az érvényesíteni kívánt jog levezetésére vonatkozó jogi érvelés épp oly megfoghatatlan, mint például a polgári anyagi jog területén az önálló zálogjog. A konferencián e két körben kívánok előadni, kiindulva abból a hipotézisből, hogy az írásbeliséghez visszatérő polgári perrendtartás mennyiben korlátozza a gyakorló jogászokat abban, hogy tényleges, akár tudományosan megalapozott érvelést alkalmazzanak, illetve abban, hogy élő szóban érvelhessenek ügyfeleik mellett. Erre építve kívánom kifejteni, hogy a jelenkori jogászképzés jellege és struktúrája mennyire nem készíti fel a hallgatókat arra, hogy épp a megváltozott bírói és perjogi környezetben helytálljanak, miközben a tananyag mennyisége nem áll összhangban az oktatás eredményével. Állításom, hogy miközben rengeteg tételes jogi szabályt kell ismerni, s azok jelen korunkban dinamikusabban változnak, mintsem követhető volna, nem áll rendelkezésünkre az a készlet, amivel dolgozva a gyakorlatban érvelni lehetne akár bíróság előtt, akár az ellenérdekű féllel szemben. E körben kívánom érinteni a bizonyítás kazuisztikájának problémásságát, illetve azt, hogy az egyes testidegen rendelkezések milyen szűk korlátok közé szorítják a jogi képviselők és a peres felek lehetőségeit egy-egy polgári perben. </w:t>
      </w:r>
    </w:p>
    <w:p w:rsidR="00B0689C" w:rsidRPr="00740E29" w:rsidRDefault="00B0689C" w:rsidP="0034063B">
      <w:pPr>
        <w:spacing w:after="0" w:line="276" w:lineRule="auto"/>
        <w:ind w:left="641" w:hanging="357"/>
        <w:rPr>
          <w:rFonts w:ascii="Times New Roman" w:hAnsi="Times New Roman" w:cs="Times New Roman"/>
          <w:sz w:val="20"/>
        </w:rPr>
      </w:pPr>
      <w:r w:rsidRPr="00740E29">
        <w:rPr>
          <w:rFonts w:ascii="Times New Roman" w:hAnsi="Times New Roman" w:cs="Times New Roman"/>
          <w:sz w:val="20"/>
        </w:rPr>
        <w:br w:type="page"/>
      </w:r>
    </w:p>
    <w:p w:rsidR="00B0689C" w:rsidRPr="00740E29" w:rsidRDefault="00B0689C" w:rsidP="0034063B">
      <w:pPr>
        <w:spacing w:line="276" w:lineRule="auto"/>
        <w:jc w:val="center"/>
        <w:rPr>
          <w:rFonts w:ascii="Times New Roman" w:hAnsi="Times New Roman" w:cs="Times New Roman"/>
          <w:b/>
          <w:sz w:val="20"/>
        </w:rPr>
      </w:pPr>
      <w:r w:rsidRPr="00740E29">
        <w:rPr>
          <w:rFonts w:ascii="Times New Roman" w:hAnsi="Times New Roman" w:cs="Times New Roman"/>
          <w:b/>
          <w:sz w:val="20"/>
        </w:rPr>
        <w:lastRenderedPageBreak/>
        <w:t>Az alkotmányértelmezés módszerei Közép-Európában</w:t>
      </w:r>
    </w:p>
    <w:p w:rsidR="00B0689C" w:rsidRPr="00740E29" w:rsidRDefault="00B0689C" w:rsidP="0034063B">
      <w:pPr>
        <w:spacing w:line="276" w:lineRule="auto"/>
        <w:jc w:val="center"/>
        <w:rPr>
          <w:rFonts w:ascii="Times New Roman" w:hAnsi="Times New Roman" w:cs="Times New Roman"/>
          <w:b/>
          <w:sz w:val="20"/>
        </w:rPr>
      </w:pPr>
    </w:p>
    <w:p w:rsidR="00B0689C" w:rsidRPr="00740E29" w:rsidRDefault="00B0689C" w:rsidP="0034063B">
      <w:pPr>
        <w:spacing w:line="276" w:lineRule="auto"/>
        <w:jc w:val="center"/>
        <w:rPr>
          <w:rFonts w:ascii="Times New Roman" w:hAnsi="Times New Roman" w:cs="Times New Roman"/>
          <w:b/>
          <w:i/>
          <w:sz w:val="20"/>
        </w:rPr>
      </w:pPr>
      <w:r w:rsidRPr="00740E29">
        <w:rPr>
          <w:rFonts w:ascii="Times New Roman" w:hAnsi="Times New Roman" w:cs="Times New Roman"/>
          <w:b/>
          <w:i/>
          <w:sz w:val="20"/>
        </w:rPr>
        <w:t>Tóth J. Zoltán</w:t>
      </w:r>
    </w:p>
    <w:p w:rsidR="00B0689C" w:rsidRPr="00740E29" w:rsidRDefault="00B0689C" w:rsidP="0034063B">
      <w:pPr>
        <w:spacing w:line="276" w:lineRule="auto"/>
        <w:jc w:val="center"/>
        <w:rPr>
          <w:rFonts w:ascii="Times New Roman" w:hAnsi="Times New Roman" w:cs="Times New Roman"/>
          <w:b/>
          <w:sz w:val="20"/>
        </w:rPr>
      </w:pPr>
    </w:p>
    <w:p w:rsidR="00B0689C" w:rsidRPr="00740E29" w:rsidRDefault="00B0689C" w:rsidP="00DD7159">
      <w:pPr>
        <w:spacing w:before="240" w:line="276" w:lineRule="auto"/>
        <w:jc w:val="both"/>
        <w:rPr>
          <w:rFonts w:ascii="Times New Roman" w:hAnsi="Times New Roman" w:cs="Times New Roman"/>
          <w:sz w:val="20"/>
        </w:rPr>
      </w:pPr>
      <w:r w:rsidRPr="00740E29">
        <w:rPr>
          <w:rFonts w:ascii="Times New Roman" w:hAnsi="Times New Roman" w:cs="Times New Roman"/>
          <w:sz w:val="20"/>
        </w:rPr>
        <w:t xml:space="preserve">2021-ben egy hat kelet-közép-európai ország kutatóiból álló kutatócsoport alakult, mely az alkotmányértelmezés és az alkotmányos (ezen belül az alapjogi) érvelés ezen országokban alkalmazott módszereit kívánta feltárni egy empirikus jog-összehasonlító kutatás keretében. A kutatáshoz egy egységes módszertani klasszifikáció összeállítása is szükséges volt, mely jó alkalmat adott arra, hogy – az alkotmánybíróságok azon igényét alapul véve, hogy azok az alkotmányos alapjogok értelmezése során nyilvánosan igazolható döntéseket hozzanak – megkíséreljük klasszifikálni azon módszereket, melyekkel az alkotmányértelmezés és az alkotmányos érvelés egyáltalán megvalósítható. Második lépcsőben, egy egységes kutatási módszertan alapján, felmértük, hogy e módszerek közül melyik és milyen arányban fordul elő a vizsgált jogrendszerekben, azok milyen gyakran jelennek meg az adott alkotmánybíróságok határozataiban. </w:t>
      </w:r>
    </w:p>
    <w:p w:rsidR="00B0689C" w:rsidRPr="00740E29" w:rsidRDefault="00B0689C" w:rsidP="00DD7159">
      <w:pPr>
        <w:spacing w:before="240" w:line="276" w:lineRule="auto"/>
        <w:jc w:val="both"/>
        <w:rPr>
          <w:rFonts w:ascii="Times New Roman" w:hAnsi="Times New Roman" w:cs="Times New Roman"/>
          <w:sz w:val="20"/>
        </w:rPr>
      </w:pPr>
      <w:r w:rsidRPr="00740E29">
        <w:rPr>
          <w:rFonts w:ascii="Times New Roman" w:hAnsi="Times New Roman" w:cs="Times New Roman"/>
          <w:sz w:val="20"/>
        </w:rPr>
        <w:t>A kutatás kiindulópontja, egyben a jelen előadás elméleti előfeltevése, hogy az alkotmányos érvelés (constitutional reasoning), benne az alkotmányértelmezés (constitutional interpretation) módszerei, bár sokban hasonlítanak a rendes jogi érvelés (legal reasoning) módszereire, ám azokhoz képest bizonyos vonatkozásokban speciálisak, így indokolt önálló, a rendes törvényértelmezéstől (statutory interpretation) elkülönült alkotmányértelmezésről (constitutional interpretation), illetve (a módszereket és egyéb forrásokat is magában foglaló) alkotmányos érvelésről (constitutional reasoning) beszélni.</w:t>
      </w:r>
    </w:p>
    <w:p w:rsidR="00B0689C" w:rsidRPr="00740E29" w:rsidRDefault="00B0689C" w:rsidP="00DD7159">
      <w:pPr>
        <w:spacing w:before="240" w:line="276" w:lineRule="auto"/>
        <w:jc w:val="both"/>
        <w:rPr>
          <w:rFonts w:ascii="Times New Roman" w:hAnsi="Times New Roman" w:cs="Times New Roman"/>
          <w:sz w:val="20"/>
        </w:rPr>
      </w:pPr>
      <w:r w:rsidRPr="00740E29">
        <w:rPr>
          <w:rFonts w:ascii="Times New Roman" w:hAnsi="Times New Roman" w:cs="Times New Roman"/>
          <w:sz w:val="20"/>
        </w:rPr>
        <w:t>Az előadás egyrészt e módszerek bemutatására, az egyes módszereket egymástól elhatárolni képes szempontok számba vételére, valamint az alkotmányos érvelésnek, és ezen belül az alkotmányértelmezésnek (specifikusan az alapjog-értelmezésnek) a törvényértelmezés és a jogi érvelés általános módszereihez képesti sajátosságainak jogelméleti jellegű ismertetésére vállalkozik; másrészt jogszociológiai alapon áttekinti, hogy e módszerek mennyiben jelennek meg ténylegesen a magyar Alkotmánybíróság, valamint a többi kelet-közép-európai alkotmánybíróság gyakorlatában.</w:t>
      </w:r>
    </w:p>
    <w:p w:rsidR="00B0689C" w:rsidRPr="00740E29" w:rsidRDefault="00B0689C" w:rsidP="0034063B">
      <w:pPr>
        <w:spacing w:after="0" w:line="276" w:lineRule="auto"/>
        <w:ind w:left="641" w:hanging="357"/>
        <w:rPr>
          <w:rFonts w:ascii="Times New Roman" w:hAnsi="Times New Roman" w:cs="Times New Roman"/>
          <w:sz w:val="20"/>
        </w:rPr>
      </w:pPr>
      <w:r w:rsidRPr="00740E29">
        <w:rPr>
          <w:rFonts w:ascii="Times New Roman" w:hAnsi="Times New Roman" w:cs="Times New Roman"/>
          <w:sz w:val="20"/>
        </w:rPr>
        <w:br w:type="page"/>
      </w:r>
    </w:p>
    <w:p w:rsidR="00B0689C" w:rsidRPr="00740E29" w:rsidRDefault="00B0689C" w:rsidP="0034063B">
      <w:pPr>
        <w:spacing w:after="0" w:line="276" w:lineRule="auto"/>
        <w:jc w:val="center"/>
        <w:rPr>
          <w:rFonts w:ascii="Times New Roman" w:hAnsi="Times New Roman" w:cs="Times New Roman"/>
          <w:b/>
          <w:sz w:val="20"/>
        </w:rPr>
      </w:pPr>
      <w:r w:rsidRPr="00740E29">
        <w:rPr>
          <w:rFonts w:ascii="Times New Roman" w:hAnsi="Times New Roman" w:cs="Times New Roman"/>
          <w:b/>
          <w:sz w:val="20"/>
        </w:rPr>
        <w:lastRenderedPageBreak/>
        <w:t>A „parrhészia”, mint igazmondási kategória Michel Foucault nyelvfilozófiájában</w:t>
      </w:r>
    </w:p>
    <w:p w:rsidR="00B0689C" w:rsidRPr="00740E29" w:rsidRDefault="00B0689C" w:rsidP="0034063B">
      <w:pPr>
        <w:spacing w:after="0" w:line="276" w:lineRule="auto"/>
        <w:jc w:val="center"/>
        <w:rPr>
          <w:rFonts w:ascii="Times New Roman" w:hAnsi="Times New Roman" w:cs="Times New Roman"/>
          <w:b/>
          <w:sz w:val="20"/>
        </w:rPr>
      </w:pPr>
    </w:p>
    <w:p w:rsidR="00B0689C" w:rsidRPr="00740E29" w:rsidRDefault="00B0689C" w:rsidP="0034063B">
      <w:pPr>
        <w:spacing w:after="0" w:line="276" w:lineRule="auto"/>
        <w:jc w:val="center"/>
        <w:rPr>
          <w:rFonts w:ascii="Times New Roman" w:hAnsi="Times New Roman" w:cs="Times New Roman"/>
          <w:b/>
          <w:i/>
          <w:sz w:val="20"/>
        </w:rPr>
      </w:pPr>
      <w:r w:rsidRPr="00740E29">
        <w:rPr>
          <w:rFonts w:ascii="Times New Roman" w:hAnsi="Times New Roman" w:cs="Times New Roman"/>
          <w:b/>
          <w:i/>
          <w:sz w:val="20"/>
        </w:rPr>
        <w:t>Vasas Tamás</w:t>
      </w:r>
    </w:p>
    <w:p w:rsidR="00B0689C" w:rsidRPr="00740E29" w:rsidRDefault="00B0689C" w:rsidP="0034063B">
      <w:pPr>
        <w:spacing w:after="0" w:line="276" w:lineRule="auto"/>
        <w:jc w:val="center"/>
        <w:rPr>
          <w:rFonts w:ascii="Times New Roman" w:hAnsi="Times New Roman" w:cs="Times New Roman"/>
          <w:b/>
          <w:sz w:val="20"/>
        </w:rPr>
      </w:pPr>
    </w:p>
    <w:p w:rsidR="00B0689C" w:rsidRPr="00740E29" w:rsidRDefault="00B0689C" w:rsidP="0034063B">
      <w:pPr>
        <w:spacing w:before="240" w:after="0" w:line="276" w:lineRule="auto"/>
        <w:jc w:val="both"/>
        <w:rPr>
          <w:rFonts w:ascii="Times New Roman" w:hAnsi="Times New Roman" w:cs="Times New Roman"/>
          <w:sz w:val="20"/>
        </w:rPr>
      </w:pPr>
      <w:r w:rsidRPr="00740E29">
        <w:rPr>
          <w:rFonts w:ascii="Times New Roman" w:hAnsi="Times New Roman" w:cs="Times New Roman"/>
          <w:sz w:val="20"/>
        </w:rPr>
        <w:t>Az előadásom témája Michel Foucault magyar kiadásban először 2019-ben, "Az igazság bátorsága" címmel megjelent nyelvfilozófiai témájú párizsi előadássorozatának egyik fő tézise, az úgynevezett "parrhészia" mint igazmondást indukáló retorikai kategória részben etikai, részben episztemológiai vonatkozásainak vizsgálata a jogászi érvelés, jogi dialektika tükrében.  Foucault állításai mentén elemzem a "parrhészia" fogalmát, annak kapcsolatát a retorikával, a klasszikus szókratészi és hérakleitoszi filozófiához kapcsolódó vonatkozásait, összefüggését az antik politikai filozófia kérdéseivel, valamint relációját az antik kultúrák három másik meghatározó igazmondási rendszerével, a prófétikus, a technikus (vagyis mesterséget tanító), valamint a bölcsességi igazmondás rendszerével. Foucault megvilágításában a "parrhészia" alapvető tárgya az "éthosz", vagyis az erkölcsi jellem, ezt a szempontot kívánom interpretálni a traktátus egyik legrészletesebben elemzett primer irodalmi forrása, "Szókratész védőbeszéde" alapján. Saját vizsgálódásom fő célja megvilágítani azt, hogy a "parrhészia" fogalmának, és mint nyelvi jelenségnek, Foucault szerinti értelmezése hogyan járulhat hozzá a jogi érvelés paradigmarendszerének bővítéséhez.</w:t>
      </w:r>
    </w:p>
    <w:p w:rsidR="00B0689C" w:rsidRPr="00740E29" w:rsidRDefault="00B0689C" w:rsidP="0034063B">
      <w:pPr>
        <w:spacing w:after="0" w:line="276" w:lineRule="auto"/>
        <w:ind w:left="641" w:hanging="357"/>
        <w:rPr>
          <w:rFonts w:ascii="Times New Roman" w:hAnsi="Times New Roman" w:cs="Times New Roman"/>
          <w:sz w:val="20"/>
        </w:rPr>
      </w:pPr>
      <w:r w:rsidRPr="00740E29">
        <w:rPr>
          <w:rFonts w:ascii="Times New Roman" w:hAnsi="Times New Roman" w:cs="Times New Roman"/>
          <w:sz w:val="20"/>
        </w:rPr>
        <w:br w:type="page"/>
      </w:r>
    </w:p>
    <w:p w:rsidR="00B0689C" w:rsidRPr="00740E29" w:rsidRDefault="00B0689C" w:rsidP="0034063B">
      <w:pPr>
        <w:spacing w:after="0" w:line="276" w:lineRule="auto"/>
        <w:jc w:val="center"/>
        <w:rPr>
          <w:rFonts w:ascii="Times New Roman" w:hAnsi="Times New Roman" w:cs="Times New Roman"/>
          <w:b/>
          <w:sz w:val="20"/>
          <w:lang w:val="hu-HU"/>
        </w:rPr>
      </w:pPr>
      <w:r w:rsidRPr="00740E29">
        <w:rPr>
          <w:rFonts w:ascii="Times New Roman" w:hAnsi="Times New Roman" w:cs="Times New Roman"/>
          <w:b/>
          <w:sz w:val="20"/>
          <w:lang w:val="hu-HU"/>
        </w:rPr>
        <w:lastRenderedPageBreak/>
        <w:t>A jogrendszer zártsága és az alkotmányos konvenciók</w:t>
      </w:r>
    </w:p>
    <w:p w:rsidR="00B0689C" w:rsidRPr="00740E29" w:rsidRDefault="00B0689C" w:rsidP="0034063B">
      <w:pPr>
        <w:spacing w:after="0" w:line="276" w:lineRule="auto"/>
        <w:jc w:val="center"/>
        <w:rPr>
          <w:rFonts w:ascii="Times New Roman" w:hAnsi="Times New Roman" w:cs="Times New Roman"/>
          <w:b/>
          <w:sz w:val="20"/>
          <w:lang w:val="hu-HU"/>
        </w:rPr>
      </w:pPr>
    </w:p>
    <w:p w:rsidR="00B0689C" w:rsidRPr="00740E29" w:rsidRDefault="00B0689C" w:rsidP="0034063B">
      <w:pPr>
        <w:spacing w:after="0" w:line="276" w:lineRule="auto"/>
        <w:jc w:val="center"/>
        <w:rPr>
          <w:rFonts w:ascii="Times New Roman" w:hAnsi="Times New Roman" w:cs="Times New Roman"/>
          <w:b/>
          <w:i/>
          <w:sz w:val="20"/>
          <w:lang w:val="hu-HU"/>
        </w:rPr>
      </w:pPr>
      <w:r w:rsidRPr="00740E29">
        <w:rPr>
          <w:rFonts w:ascii="Times New Roman" w:hAnsi="Times New Roman" w:cs="Times New Roman"/>
          <w:b/>
          <w:i/>
          <w:sz w:val="20"/>
          <w:lang w:val="hu-HU"/>
        </w:rPr>
        <w:t>Vincze Attila</w:t>
      </w:r>
    </w:p>
    <w:p w:rsidR="00B0689C" w:rsidRPr="00740E29" w:rsidRDefault="00B0689C" w:rsidP="0034063B">
      <w:pPr>
        <w:spacing w:after="0" w:line="276" w:lineRule="auto"/>
        <w:jc w:val="center"/>
        <w:rPr>
          <w:rFonts w:ascii="Times New Roman" w:hAnsi="Times New Roman" w:cs="Times New Roman"/>
          <w:b/>
          <w:sz w:val="20"/>
          <w:lang w:val="hu-HU"/>
        </w:rPr>
      </w:pPr>
    </w:p>
    <w:p w:rsidR="00B0689C" w:rsidRPr="00740E29" w:rsidRDefault="00B0689C" w:rsidP="0034063B">
      <w:pPr>
        <w:spacing w:before="240" w:after="0" w:line="276" w:lineRule="auto"/>
        <w:jc w:val="both"/>
        <w:rPr>
          <w:rFonts w:ascii="Times New Roman" w:hAnsi="Times New Roman" w:cs="Times New Roman"/>
          <w:sz w:val="20"/>
          <w:lang w:val="hu-HU"/>
        </w:rPr>
      </w:pPr>
      <w:r w:rsidRPr="00740E29">
        <w:rPr>
          <w:rFonts w:ascii="Times New Roman" w:hAnsi="Times New Roman" w:cs="Times New Roman"/>
          <w:sz w:val="20"/>
          <w:lang w:val="hu-HU"/>
        </w:rPr>
        <w:t>A magyar jogtudomány uralkodó álláspontja szerint a szokásjog illetve a konvenció nem létezi. Ennek oka az Alkotmánybíróság korai gyakorlata is, amely szerint a jogforrási rendszer zárt, és csak azok a jogforrások léteznek, amelyeket az Alaptörvény kifejezetten rögzít. Ez egy nagyon formalista és steril jogfelfogáshoz vezet, ami kizárja a konvenciókat.</w:t>
      </w:r>
    </w:p>
    <w:p w:rsidR="00B0689C" w:rsidRPr="00740E29" w:rsidRDefault="00B0689C" w:rsidP="0034063B">
      <w:pPr>
        <w:spacing w:before="240" w:after="0" w:line="276" w:lineRule="auto"/>
        <w:jc w:val="both"/>
        <w:rPr>
          <w:rFonts w:ascii="Times New Roman" w:hAnsi="Times New Roman" w:cs="Times New Roman"/>
          <w:sz w:val="20"/>
          <w:lang w:val="hu-HU"/>
        </w:rPr>
      </w:pPr>
      <w:r w:rsidRPr="00740E29">
        <w:rPr>
          <w:rFonts w:ascii="Times New Roman" w:hAnsi="Times New Roman" w:cs="Times New Roman"/>
          <w:sz w:val="20"/>
          <w:lang w:val="hu-HU"/>
        </w:rPr>
        <w:t>Ugyanakkor számos esetben figyelhető meg, hogy a formális szabályt kiegészíti vagy korlátozza egy szokásjogilag kialakult norma. E normák létét leginkább azokban az esetekben lehet megfigyelni, ha megszegésük miatt konfliktus alakul ki. Ebből pedig arra lehet következtetni, hogy a jogforrási rendszer zártságának tézise felülvizsgálatra szorul.</w:t>
      </w:r>
    </w:p>
    <w:p w:rsidR="0034063B" w:rsidRPr="00740E29" w:rsidRDefault="0034063B" w:rsidP="0034063B">
      <w:pPr>
        <w:spacing w:after="0" w:line="276" w:lineRule="auto"/>
        <w:ind w:left="641" w:hanging="357"/>
        <w:rPr>
          <w:rFonts w:ascii="Times New Roman" w:hAnsi="Times New Roman" w:cs="Times New Roman"/>
          <w:sz w:val="20"/>
          <w:lang w:val="hu-HU"/>
        </w:rPr>
      </w:pPr>
      <w:r w:rsidRPr="00740E29">
        <w:rPr>
          <w:rFonts w:ascii="Times New Roman" w:hAnsi="Times New Roman" w:cs="Times New Roman"/>
          <w:sz w:val="20"/>
          <w:lang w:val="hu-HU"/>
        </w:rPr>
        <w:br w:type="page"/>
      </w:r>
    </w:p>
    <w:p w:rsidR="0034063B" w:rsidRPr="00740E29" w:rsidRDefault="0034063B" w:rsidP="0034063B">
      <w:pPr>
        <w:spacing w:after="0" w:line="276" w:lineRule="auto"/>
        <w:jc w:val="center"/>
        <w:rPr>
          <w:rFonts w:ascii="Times New Roman" w:hAnsi="Times New Roman" w:cs="Times New Roman"/>
          <w:b/>
          <w:bCs/>
          <w:sz w:val="20"/>
          <w:lang w:val="hu-HU"/>
        </w:rPr>
      </w:pPr>
      <w:r w:rsidRPr="00740E29">
        <w:rPr>
          <w:rFonts w:ascii="Times New Roman" w:hAnsi="Times New Roman" w:cs="Times New Roman"/>
          <w:b/>
          <w:bCs/>
          <w:sz w:val="20"/>
          <w:lang w:val="hu-HU"/>
        </w:rPr>
        <w:lastRenderedPageBreak/>
        <w:t>A gépi döntések megmagyarázhatósága és a jogi érvelés</w:t>
      </w:r>
    </w:p>
    <w:p w:rsidR="0034063B" w:rsidRPr="00740E29" w:rsidRDefault="0034063B" w:rsidP="0034063B">
      <w:pPr>
        <w:spacing w:after="0" w:line="276" w:lineRule="auto"/>
        <w:jc w:val="center"/>
        <w:rPr>
          <w:rFonts w:ascii="Times New Roman" w:hAnsi="Times New Roman" w:cs="Times New Roman"/>
          <w:b/>
          <w:bCs/>
          <w:sz w:val="20"/>
          <w:lang w:val="hu-HU"/>
        </w:rPr>
      </w:pPr>
    </w:p>
    <w:p w:rsidR="0034063B" w:rsidRPr="00740E29" w:rsidRDefault="0034063B" w:rsidP="0034063B">
      <w:pPr>
        <w:spacing w:after="0" w:line="276" w:lineRule="auto"/>
        <w:jc w:val="center"/>
        <w:rPr>
          <w:rFonts w:ascii="Times New Roman" w:hAnsi="Times New Roman" w:cs="Times New Roman"/>
          <w:b/>
          <w:bCs/>
          <w:i/>
          <w:sz w:val="20"/>
          <w:lang w:val="hu-HU"/>
        </w:rPr>
      </w:pPr>
      <w:r w:rsidRPr="00740E29">
        <w:rPr>
          <w:rFonts w:ascii="Times New Roman" w:hAnsi="Times New Roman" w:cs="Times New Roman"/>
          <w:b/>
          <w:bCs/>
          <w:i/>
          <w:sz w:val="20"/>
          <w:lang w:val="hu-HU"/>
        </w:rPr>
        <w:t>Ződi Zsolt</w:t>
      </w:r>
    </w:p>
    <w:p w:rsidR="0034063B" w:rsidRPr="00740E29" w:rsidRDefault="0034063B" w:rsidP="0034063B">
      <w:pPr>
        <w:spacing w:before="200" w:after="0" w:line="276" w:lineRule="auto"/>
        <w:jc w:val="both"/>
        <w:rPr>
          <w:rFonts w:ascii="Times New Roman" w:hAnsi="Times New Roman" w:cs="Times New Roman"/>
          <w:sz w:val="20"/>
          <w:lang w:val="hu-HU"/>
        </w:rPr>
      </w:pPr>
      <w:r w:rsidRPr="00740E29">
        <w:rPr>
          <w:rFonts w:ascii="Times New Roman" w:hAnsi="Times New Roman" w:cs="Times New Roman"/>
          <w:sz w:val="20"/>
          <w:lang w:val="hu-HU"/>
        </w:rPr>
        <w:t xml:space="preserve">A gép (automata) illetve mesterséges intelligencia által hozott döntések (automated decision-making, ADM), illetve ajánlások (recommendations), és ezek </w:t>
      </w:r>
      <w:r w:rsidRPr="00740E29">
        <w:rPr>
          <w:rFonts w:ascii="Times New Roman" w:hAnsi="Times New Roman" w:cs="Times New Roman"/>
          <w:i/>
          <w:iCs/>
          <w:sz w:val="20"/>
          <w:lang w:val="hu-HU"/>
        </w:rPr>
        <w:t>megmagyarázhatóságának</w:t>
      </w:r>
      <w:r w:rsidRPr="00740E29">
        <w:rPr>
          <w:rFonts w:ascii="Times New Roman" w:hAnsi="Times New Roman" w:cs="Times New Roman"/>
          <w:sz w:val="20"/>
          <w:lang w:val="hu-HU"/>
        </w:rPr>
        <w:t xml:space="preserve"> problematikája (explainable algorithms, vagy explainable artificial intelligence XAI) meglepően hosszú múltra visszatekintő diskurzus. A gépi adatfeldolgozás 70-es évekbeli elterjedésével szinte egyidőben megjelent az automatizált döntések elleni „fellebbezés”, illetve ezek transzparenciájának és megmagyarázásának igénye, sőt, azok a szabályok, amelyek kötelezővé tették, hogy ezekből lehessen „kimaradni” (opt-out) illetve emberhez fordulni már a </w:t>
      </w:r>
      <w:proofErr w:type="gramStart"/>
      <w:r w:rsidRPr="00740E29">
        <w:rPr>
          <w:rFonts w:ascii="Times New Roman" w:hAnsi="Times New Roman" w:cs="Times New Roman"/>
          <w:sz w:val="20"/>
          <w:lang w:val="hu-HU"/>
        </w:rPr>
        <w:t>80-as</w:t>
      </w:r>
      <w:r w:rsidRPr="00740E29">
        <w:rPr>
          <w:rStyle w:val="Lbjegyzet-hivatkozs"/>
          <w:rFonts w:ascii="Times New Roman" w:hAnsi="Times New Roman" w:cs="Times New Roman"/>
          <w:sz w:val="20"/>
        </w:rPr>
        <w:footnoteReference w:id="2"/>
      </w:r>
      <w:r w:rsidRPr="00740E29">
        <w:rPr>
          <w:rFonts w:ascii="Times New Roman" w:hAnsi="Times New Roman" w:cs="Times New Roman"/>
          <w:sz w:val="20"/>
          <w:lang w:val="hu-HU"/>
        </w:rPr>
        <w:t>,</w:t>
      </w:r>
      <w:proofErr w:type="gramEnd"/>
      <w:r w:rsidRPr="00740E29">
        <w:rPr>
          <w:rFonts w:ascii="Times New Roman" w:hAnsi="Times New Roman" w:cs="Times New Roman"/>
          <w:sz w:val="20"/>
          <w:lang w:val="hu-HU"/>
        </w:rPr>
        <w:t xml:space="preserve"> 90-es</w:t>
      </w:r>
      <w:r w:rsidRPr="00740E29">
        <w:rPr>
          <w:rStyle w:val="Lbjegyzet-hivatkozs"/>
          <w:rFonts w:ascii="Times New Roman" w:hAnsi="Times New Roman" w:cs="Times New Roman"/>
          <w:sz w:val="20"/>
        </w:rPr>
        <w:footnoteReference w:id="3"/>
      </w:r>
      <w:r w:rsidRPr="00740E29">
        <w:rPr>
          <w:rFonts w:ascii="Times New Roman" w:hAnsi="Times New Roman" w:cs="Times New Roman"/>
          <w:sz w:val="20"/>
          <w:lang w:val="hu-HU"/>
        </w:rPr>
        <w:t xml:space="preserve"> években a tételes jog részévé váltak. Ugyanakkor valódi jelentőségük, és ami ennek jó indikátora, bírói, jogalkalmazói gyakorlatuk ezeknek a rendelkezéseknek nem alakult ki. Utólag visszatekintve ezek a szabályok inkább voltak a sunstein-i értelemben vett „félelemtörvények” (laws of fear)</w:t>
      </w:r>
      <w:r w:rsidRPr="00740E29">
        <w:rPr>
          <w:rStyle w:val="Lbjegyzet-hivatkozs"/>
          <w:rFonts w:ascii="Times New Roman" w:hAnsi="Times New Roman" w:cs="Times New Roman"/>
          <w:sz w:val="20"/>
        </w:rPr>
        <w:footnoteReference w:id="4"/>
      </w:r>
      <w:r w:rsidRPr="00740E29">
        <w:rPr>
          <w:rFonts w:ascii="Times New Roman" w:hAnsi="Times New Roman" w:cs="Times New Roman"/>
          <w:sz w:val="20"/>
          <w:lang w:val="hu-HU"/>
        </w:rPr>
        <w:t xml:space="preserve"> semmint az emberi autonómia és méltóság valódi védelmezői. </w:t>
      </w:r>
    </w:p>
    <w:p w:rsidR="0034063B" w:rsidRPr="00740E29" w:rsidRDefault="0034063B" w:rsidP="0034063B">
      <w:pPr>
        <w:spacing w:before="200" w:after="0" w:line="276" w:lineRule="auto"/>
        <w:jc w:val="both"/>
        <w:rPr>
          <w:rFonts w:ascii="Times New Roman" w:hAnsi="Times New Roman" w:cs="Times New Roman"/>
          <w:sz w:val="20"/>
          <w:lang w:val="hu-HU"/>
        </w:rPr>
      </w:pPr>
      <w:r w:rsidRPr="00740E29">
        <w:rPr>
          <w:rFonts w:ascii="Times New Roman" w:hAnsi="Times New Roman" w:cs="Times New Roman"/>
          <w:sz w:val="20"/>
          <w:lang w:val="hu-HU"/>
        </w:rPr>
        <w:t xml:space="preserve">A helyzet azonban a platformok, a valódi döntéseket hozó, és komoly téttel bíró ajánlásokat adó rendszerek elterjedésével megváltozott. Néhány közelmúltbeli eset, (a </w:t>
      </w:r>
      <w:proofErr w:type="gramStart"/>
      <w:r w:rsidRPr="00740E29">
        <w:rPr>
          <w:rFonts w:ascii="Times New Roman" w:hAnsi="Times New Roman" w:cs="Times New Roman"/>
          <w:sz w:val="20"/>
          <w:lang w:val="hu-HU"/>
        </w:rPr>
        <w:t>COMPAS-ügy</w:t>
      </w:r>
      <w:r w:rsidRPr="00740E29">
        <w:rPr>
          <w:rStyle w:val="Lbjegyzet-hivatkozs"/>
          <w:rFonts w:ascii="Times New Roman" w:hAnsi="Times New Roman" w:cs="Times New Roman"/>
          <w:sz w:val="20"/>
        </w:rPr>
        <w:footnoteReference w:id="5"/>
      </w:r>
      <w:r w:rsidRPr="00740E29">
        <w:rPr>
          <w:rFonts w:ascii="Times New Roman" w:hAnsi="Times New Roman" w:cs="Times New Roman"/>
          <w:sz w:val="20"/>
          <w:lang w:val="hu-HU"/>
        </w:rPr>
        <w:t>,</w:t>
      </w:r>
      <w:proofErr w:type="gramEnd"/>
      <w:r w:rsidRPr="00740E29">
        <w:rPr>
          <w:rFonts w:ascii="Times New Roman" w:hAnsi="Times New Roman" w:cs="Times New Roman"/>
          <w:sz w:val="20"/>
          <w:lang w:val="hu-HU"/>
        </w:rPr>
        <w:t xml:space="preserve"> vagy a holland adóhatóság gyermektámogatás-visszafizetési ügye</w:t>
      </w:r>
      <w:r w:rsidRPr="00740E29">
        <w:rPr>
          <w:rStyle w:val="Lbjegyzet-hivatkozs"/>
          <w:rFonts w:ascii="Times New Roman" w:hAnsi="Times New Roman" w:cs="Times New Roman"/>
          <w:sz w:val="20"/>
        </w:rPr>
        <w:footnoteReference w:id="6"/>
      </w:r>
      <w:r w:rsidRPr="00740E29">
        <w:rPr>
          <w:rFonts w:ascii="Times New Roman" w:hAnsi="Times New Roman" w:cs="Times New Roman"/>
          <w:sz w:val="20"/>
          <w:lang w:val="hu-HU"/>
        </w:rPr>
        <w:t xml:space="preserve">) jelzik, hogy a gépi döntések és ajánlások nemcsak a mindennapi életünk egyre fontosabb részei, hanem komoly kockázatokat is hordoznak. Az ezzel kapcsolatos diskurzus több ágra bomlik, (pl. diszkrimináló algoritmusok, az algoritmusok transzparenciája, a „black box” jelenség, sőt </w:t>
      </w:r>
      <w:proofErr w:type="gramStart"/>
      <w:r w:rsidRPr="00740E29">
        <w:rPr>
          <w:rFonts w:ascii="Times New Roman" w:hAnsi="Times New Roman" w:cs="Times New Roman"/>
          <w:sz w:val="20"/>
          <w:lang w:val="hu-HU"/>
        </w:rPr>
        <w:t>társadalom</w:t>
      </w:r>
      <w:r w:rsidRPr="00740E29">
        <w:rPr>
          <w:rStyle w:val="Lbjegyzet-hivatkozs"/>
          <w:rFonts w:ascii="Times New Roman" w:hAnsi="Times New Roman" w:cs="Times New Roman"/>
          <w:sz w:val="20"/>
        </w:rPr>
        <w:footnoteReference w:id="7"/>
      </w:r>
      <w:r w:rsidRPr="00740E29">
        <w:rPr>
          <w:rFonts w:ascii="Times New Roman" w:hAnsi="Times New Roman" w:cs="Times New Roman"/>
          <w:sz w:val="20"/>
          <w:lang w:val="hu-HU"/>
        </w:rPr>
        <w:t>,</w:t>
      </w:r>
      <w:proofErr w:type="gramEnd"/>
      <w:r w:rsidRPr="00740E29">
        <w:rPr>
          <w:rFonts w:ascii="Times New Roman" w:hAnsi="Times New Roman" w:cs="Times New Roman"/>
          <w:sz w:val="20"/>
          <w:lang w:val="hu-HU"/>
        </w:rPr>
        <w:t>) és ezen belül az egyik legfontosabb diskurzus az algoritmusok megmagyarázhatóságával kapcsolatos. Prezentációmban azt az egyszerű és kézenfekvő kérdést szeretném kibontani, hogy egy jogi jellegű, (személyek jogaira és kötelezettségeire hatással bíró) gépi döntés, (vagy a leggyakrabban inkább ajánlás) megmagyarázhatósága milyen kapcsolatban van a jogi érveléssel és ennek praktikus oldalával, a jó jogi indokolással.</w:t>
      </w:r>
      <w:r w:rsidRPr="00740E29">
        <w:rPr>
          <w:rStyle w:val="Lbjegyzet-hivatkozs"/>
          <w:rFonts w:ascii="Times New Roman" w:hAnsi="Times New Roman" w:cs="Times New Roman"/>
          <w:sz w:val="20"/>
        </w:rPr>
        <w:footnoteReference w:id="8"/>
      </w:r>
      <w:r w:rsidRPr="00740E29">
        <w:rPr>
          <w:rFonts w:ascii="Times New Roman" w:hAnsi="Times New Roman" w:cs="Times New Roman"/>
          <w:sz w:val="20"/>
          <w:lang w:val="hu-HU"/>
        </w:rPr>
        <w:t xml:space="preserve"> A téma sokféleképpen megragadható, én a nyelv </w:t>
      </w:r>
      <w:r w:rsidRPr="00740E29">
        <w:rPr>
          <w:rFonts w:ascii="Times New Roman" w:hAnsi="Times New Roman" w:cs="Times New Roman"/>
          <w:sz w:val="20"/>
          <w:lang w:val="hu-HU"/>
        </w:rPr>
        <w:lastRenderedPageBreak/>
        <w:t>oldaláról közelítek: Szabó Miklós</w:t>
      </w:r>
      <w:r w:rsidRPr="00740E29">
        <w:rPr>
          <w:rStyle w:val="Lbjegyzet-hivatkozs"/>
          <w:rFonts w:ascii="Times New Roman" w:hAnsi="Times New Roman" w:cs="Times New Roman"/>
          <w:sz w:val="20"/>
        </w:rPr>
        <w:footnoteReference w:id="9"/>
      </w:r>
      <w:r w:rsidRPr="00740E29">
        <w:rPr>
          <w:rFonts w:ascii="Times New Roman" w:hAnsi="Times New Roman" w:cs="Times New Roman"/>
          <w:sz w:val="20"/>
          <w:lang w:val="hu-HU"/>
        </w:rPr>
        <w:t xml:space="preserve"> és Roman Jakobson</w:t>
      </w:r>
      <w:r w:rsidRPr="00740E29">
        <w:rPr>
          <w:rStyle w:val="Lbjegyzet-hivatkozs"/>
          <w:rFonts w:ascii="Times New Roman" w:hAnsi="Times New Roman" w:cs="Times New Roman"/>
          <w:sz w:val="20"/>
        </w:rPr>
        <w:footnoteReference w:id="10"/>
      </w:r>
      <w:r w:rsidRPr="00740E29">
        <w:rPr>
          <w:rFonts w:ascii="Times New Roman" w:hAnsi="Times New Roman" w:cs="Times New Roman"/>
          <w:sz w:val="20"/>
          <w:lang w:val="hu-HU"/>
        </w:rPr>
        <w:t xml:space="preserve"> nyomán a tények és a szabályok adatokká és algoritmusokká történő átalakítását, átfordítását, majd a gépi output szöveggé történő visszaalakítását interszemiotikus fordításként fogom fel, és igyekszem ennek jogelméleti következményeit számbavenni. </w:t>
      </w:r>
    </w:p>
    <w:p w:rsidR="00B0689C" w:rsidRPr="00740E29" w:rsidRDefault="00B0689C" w:rsidP="0034063B">
      <w:pPr>
        <w:spacing w:line="276" w:lineRule="auto"/>
        <w:jc w:val="both"/>
        <w:rPr>
          <w:rFonts w:ascii="Times New Roman" w:hAnsi="Times New Roman" w:cs="Times New Roman"/>
          <w:sz w:val="20"/>
          <w:lang w:val="hu-HU"/>
        </w:rPr>
      </w:pPr>
    </w:p>
    <w:sectPr w:rsidR="00B0689C" w:rsidRPr="00740E29" w:rsidSect="00740E29">
      <w:pgSz w:w="9979" w:h="14175" w:code="34"/>
      <w:pgMar w:top="1418" w:right="1418" w:bottom="1418" w:left="1418" w:header="567"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0BD" w:rsidRDefault="00DA30BD" w:rsidP="00B0689C">
      <w:pPr>
        <w:spacing w:after="0" w:line="240" w:lineRule="auto"/>
      </w:pPr>
      <w:r>
        <w:separator/>
      </w:r>
    </w:p>
  </w:endnote>
  <w:endnote w:type="continuationSeparator" w:id="0">
    <w:p w:rsidR="00DA30BD" w:rsidRDefault="00DA30BD" w:rsidP="00B06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Lucida Sans">
    <w:panose1 w:val="020B0602040502020204"/>
    <w:charset w:val="EE"/>
    <w:family w:val="swiss"/>
    <w:pitch w:val="variable"/>
    <w:sig w:usb0="8100AAF7" w:usb1="0000807B" w:usb2="00000008"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780" w:rsidRDefault="009E7780" w:rsidP="009E7780">
    <w:pPr>
      <w:pStyle w:val="ll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0BD" w:rsidRDefault="00DA30BD" w:rsidP="00B0689C">
      <w:pPr>
        <w:spacing w:after="0" w:line="240" w:lineRule="auto"/>
      </w:pPr>
      <w:r>
        <w:separator/>
      </w:r>
    </w:p>
  </w:footnote>
  <w:footnote w:type="continuationSeparator" w:id="0">
    <w:p w:rsidR="00DA30BD" w:rsidRDefault="00DA30BD" w:rsidP="00B0689C">
      <w:pPr>
        <w:spacing w:after="0" w:line="240" w:lineRule="auto"/>
      </w:pPr>
      <w:r>
        <w:continuationSeparator/>
      </w:r>
    </w:p>
  </w:footnote>
  <w:footnote w:id="1">
    <w:p w:rsidR="00B0689C" w:rsidRDefault="00B0689C" w:rsidP="00B0689C">
      <w:pPr>
        <w:pStyle w:val="Lbjegyzetszveg"/>
      </w:pPr>
      <w:r>
        <w:rPr>
          <w:rStyle w:val="Lbjegyzet-hivatkozs"/>
        </w:rPr>
        <w:footnoteRef/>
      </w:r>
      <w:r>
        <w:t xml:space="preserve"> John Dewey: Logical Method and Law. 10. Cornell Law Quarterly. 17. 1924. 26. p.</w:t>
      </w:r>
    </w:p>
  </w:footnote>
  <w:footnote w:id="2">
    <w:p w:rsidR="0034063B" w:rsidRPr="00807E3C" w:rsidRDefault="0034063B" w:rsidP="00DD7159">
      <w:pPr>
        <w:pStyle w:val="Lbjegyzetszveg"/>
        <w:spacing w:line="240" w:lineRule="auto"/>
        <w:jc w:val="left"/>
      </w:pPr>
      <w:r>
        <w:rPr>
          <w:rStyle w:val="Lbjegyzet-hivatkozs"/>
        </w:rPr>
        <w:footnoteRef/>
      </w:r>
      <w:r>
        <w:t xml:space="preserve"> </w:t>
      </w:r>
      <w:hyperlink r:id="rId1" w:history="1">
        <w:r w:rsidRPr="00026116">
          <w:rPr>
            <w:rStyle w:val="Hiperhivatkozs"/>
          </w:rPr>
          <w:t>https://net.jogtar.hu/jogszabaly?docid=99800006.tv</w:t>
        </w:r>
      </w:hyperlink>
      <w:r>
        <w:t xml:space="preserve"> </w:t>
      </w:r>
    </w:p>
  </w:footnote>
  <w:footnote w:id="3">
    <w:p w:rsidR="0034063B" w:rsidRPr="00807E3C" w:rsidRDefault="0034063B" w:rsidP="00DD7159">
      <w:pPr>
        <w:pStyle w:val="Lbjegyzetszveg"/>
        <w:spacing w:line="240" w:lineRule="auto"/>
        <w:jc w:val="left"/>
      </w:pPr>
      <w:r>
        <w:rPr>
          <w:rStyle w:val="Lbjegyzet-hivatkozs"/>
        </w:rPr>
        <w:footnoteRef/>
      </w:r>
      <w:r>
        <w:t xml:space="preserve"> </w:t>
      </w:r>
      <w:hyperlink r:id="rId2" w:history="1">
        <w:r w:rsidRPr="00026116">
          <w:rPr>
            <w:rStyle w:val="Hiperhivatkozs"/>
          </w:rPr>
          <w:t>https://eur-lex.europa.eu/legal-content/HU/TXT/HTML/?uri=CELEX:31995L0046</w:t>
        </w:r>
      </w:hyperlink>
      <w:r>
        <w:t xml:space="preserve"> </w:t>
      </w:r>
    </w:p>
  </w:footnote>
  <w:footnote w:id="4">
    <w:p w:rsidR="0034063B" w:rsidRPr="00BD57EE" w:rsidRDefault="0034063B" w:rsidP="00DD7159">
      <w:pPr>
        <w:pStyle w:val="Lbjegyzetszveg"/>
        <w:spacing w:line="240" w:lineRule="auto"/>
        <w:jc w:val="left"/>
      </w:pPr>
      <w:r>
        <w:rPr>
          <w:rStyle w:val="Lbjegyzet-hivatkozs"/>
        </w:rPr>
        <w:footnoteRef/>
      </w:r>
      <w:r>
        <w:t xml:space="preserve"> </w:t>
      </w:r>
      <w:hyperlink r:id="rId3" w:history="1">
        <w:r w:rsidRPr="00026116">
          <w:rPr>
            <w:rStyle w:val="Hiperhivatkozs"/>
          </w:rPr>
          <w:t>https://www.cambridge.org/core/books/laws-of-fear/16124E83F371BEAA5082AB07EA892836</w:t>
        </w:r>
      </w:hyperlink>
      <w:r>
        <w:t xml:space="preserve"> </w:t>
      </w:r>
    </w:p>
  </w:footnote>
  <w:footnote w:id="5">
    <w:p w:rsidR="0034063B" w:rsidRPr="00807E3C" w:rsidRDefault="0034063B" w:rsidP="00DD7159">
      <w:pPr>
        <w:pStyle w:val="Lbjegyzetszveg"/>
        <w:spacing w:line="240" w:lineRule="auto"/>
        <w:jc w:val="left"/>
      </w:pPr>
      <w:r>
        <w:rPr>
          <w:rStyle w:val="Lbjegyzet-hivatkozs"/>
        </w:rPr>
        <w:footnoteRef/>
      </w:r>
      <w:r>
        <w:t xml:space="preserve"> </w:t>
      </w:r>
      <w:hyperlink r:id="rId4" w:history="1">
        <w:r w:rsidRPr="00026116">
          <w:rPr>
            <w:rStyle w:val="Hiperhivatkozs"/>
          </w:rPr>
          <w:t>https://www.propublica.org/article/machine-bias-risk-assessments-in-criminal-sentencing</w:t>
        </w:r>
      </w:hyperlink>
      <w:r>
        <w:t xml:space="preserve"> </w:t>
      </w:r>
    </w:p>
  </w:footnote>
  <w:footnote w:id="6">
    <w:p w:rsidR="0034063B" w:rsidRPr="00807E3C" w:rsidRDefault="0034063B" w:rsidP="00DD7159">
      <w:pPr>
        <w:pStyle w:val="Lbjegyzetszveg"/>
        <w:spacing w:line="240" w:lineRule="auto"/>
        <w:jc w:val="left"/>
      </w:pPr>
      <w:r>
        <w:rPr>
          <w:rStyle w:val="Lbjegyzet-hivatkozs"/>
        </w:rPr>
        <w:footnoteRef/>
      </w:r>
      <w:r>
        <w:t xml:space="preserve"> </w:t>
      </w:r>
      <w:hyperlink r:id="rId5" w:history="1">
        <w:r w:rsidRPr="00026116">
          <w:rPr>
            <w:rStyle w:val="Hiperhivatkozs"/>
          </w:rPr>
          <w:t>https://fra.europa.eu/sites/default/files/fra_uploads/fra-2022-bias-in-algorithms_en.pdf</w:t>
        </w:r>
      </w:hyperlink>
      <w:r>
        <w:t xml:space="preserve"> és az ügy parlamenti kivizsgálásának jegyzőkönyve: </w:t>
      </w:r>
      <w:hyperlink r:id="rId6" w:history="1">
        <w:r w:rsidRPr="00026116">
          <w:rPr>
            <w:rStyle w:val="Hiperhivatkozs"/>
          </w:rPr>
          <w:t>https://www.tweedekamer.nl/sites/default/files/atoms/files/20201217_eindverslag_parlementaire_ondervragingscommissie_kinderopvangtoeslag.pdf</w:t>
        </w:r>
      </w:hyperlink>
      <w:r>
        <w:t xml:space="preserve"> </w:t>
      </w:r>
    </w:p>
  </w:footnote>
  <w:footnote w:id="7">
    <w:p w:rsidR="0034063B" w:rsidRPr="00807E3C" w:rsidRDefault="0034063B" w:rsidP="00DD7159">
      <w:pPr>
        <w:pStyle w:val="Lbjegyzetszveg"/>
        <w:spacing w:line="240" w:lineRule="auto"/>
        <w:jc w:val="left"/>
      </w:pPr>
      <w:r>
        <w:rPr>
          <w:rStyle w:val="Lbjegyzet-hivatkozs"/>
        </w:rPr>
        <w:footnoteRef/>
      </w:r>
      <w:r>
        <w:t xml:space="preserve"> </w:t>
      </w:r>
      <w:hyperlink r:id="rId7" w:history="1">
        <w:r w:rsidRPr="00026116">
          <w:rPr>
            <w:rStyle w:val="Hiperhivatkozs"/>
          </w:rPr>
          <w:t>https://www.hup.harvard.edu/catalog.php?isbn=9780674970847</w:t>
        </w:r>
      </w:hyperlink>
      <w:r>
        <w:t xml:space="preserve"> </w:t>
      </w:r>
    </w:p>
  </w:footnote>
  <w:footnote w:id="8">
    <w:p w:rsidR="0034063B" w:rsidRPr="00DF1E8B" w:rsidRDefault="0034063B" w:rsidP="00DD7159">
      <w:pPr>
        <w:pStyle w:val="Lbjegyzetszveg"/>
        <w:spacing w:line="240" w:lineRule="auto"/>
        <w:jc w:val="left"/>
      </w:pPr>
      <w:r>
        <w:rPr>
          <w:rStyle w:val="Lbjegyzet-hivatkozs"/>
        </w:rPr>
        <w:footnoteRef/>
      </w:r>
      <w:r>
        <w:t xml:space="preserve"> </w:t>
      </w:r>
      <w:hyperlink r:id="rId8" w:history="1">
        <w:r w:rsidRPr="00026116">
          <w:rPr>
            <w:rStyle w:val="Hiperhivatkozs"/>
          </w:rPr>
          <w:t>https://link.springer.com/book/10.1007/978-3-319-97316-6</w:t>
        </w:r>
      </w:hyperlink>
      <w:r>
        <w:t xml:space="preserve"> </w:t>
      </w:r>
    </w:p>
  </w:footnote>
  <w:footnote w:id="9">
    <w:p w:rsidR="0034063B" w:rsidRPr="00BD57EE" w:rsidRDefault="0034063B" w:rsidP="00DD7159">
      <w:pPr>
        <w:pStyle w:val="Lbjegyzetszveg"/>
        <w:spacing w:line="240" w:lineRule="auto"/>
        <w:jc w:val="left"/>
      </w:pPr>
      <w:r>
        <w:rPr>
          <w:rStyle w:val="Lbjegyzet-hivatkozs"/>
        </w:rPr>
        <w:footnoteRef/>
      </w:r>
      <w:r>
        <w:t xml:space="preserve"> </w:t>
      </w:r>
      <w:r w:rsidRPr="00BD57EE">
        <w:t>Szabó Miklós: Nyelvi átfordítások a jogban. In Szabadfalvi József (szerk.): Facultas Nascitur.  20 éves a jogászképzés Miskolcon. Miskolc, 2001, Bíbor, 471–491. Szabó Mikós: Jogeset születik. In Szabó (szerk.): Nyelvében a jog, 261–286.</w:t>
      </w:r>
    </w:p>
  </w:footnote>
  <w:footnote w:id="10">
    <w:p w:rsidR="0034063B" w:rsidRPr="00BD57EE" w:rsidRDefault="0034063B" w:rsidP="00DD7159">
      <w:pPr>
        <w:pStyle w:val="Lbjegyzetszveg"/>
        <w:spacing w:line="240" w:lineRule="auto"/>
        <w:jc w:val="left"/>
      </w:pPr>
      <w:r>
        <w:rPr>
          <w:rStyle w:val="Lbjegyzet-hivatkozs"/>
        </w:rPr>
        <w:footnoteRef/>
      </w:r>
      <w:r>
        <w:t xml:space="preserve"> Roman Jakobson: Fordítás és nyelvészet in uő: Hang-jel-vers, Budapest, Gondolat 1972. 424 – 434.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771923"/>
      <w:docPartObj>
        <w:docPartGallery w:val="Page Numbers (Margins)"/>
        <w:docPartUnique/>
      </w:docPartObj>
    </w:sdtPr>
    <w:sdtEndPr/>
    <w:sdtContent>
      <w:p w:rsidR="000F629A" w:rsidRDefault="000F629A">
        <w:pPr>
          <w:pStyle w:val="lfej"/>
        </w:pPr>
        <w:r>
          <w:rPr>
            <w:rFonts w:asciiTheme="majorHAnsi" w:eastAsiaTheme="majorEastAsia" w:hAnsiTheme="majorHAnsi" w:cstheme="majorBidi"/>
            <w:noProof/>
            <w:sz w:val="28"/>
            <w:szCs w:val="28"/>
            <w:lang w:val="hu-HU" w:eastAsia="hu-HU"/>
          </w:rPr>
          <mc:AlternateContent>
            <mc:Choice Requires="wps">
              <w:drawing>
                <wp:anchor distT="0" distB="0" distL="114300" distR="114300" simplePos="0" relativeHeight="251659264" behindDoc="0" locked="0" layoutInCell="0" allowOverlap="1" wp14:anchorId="3E95CA10" wp14:editId="13759D29">
                  <wp:simplePos x="0" y="0"/>
                  <wp:positionH relativeFrom="rightMargin">
                    <wp:align>center</wp:align>
                  </wp:positionH>
                  <wp:positionV relativeFrom="page">
                    <wp:posOffset>2825750</wp:posOffset>
                  </wp:positionV>
                  <wp:extent cx="451556" cy="418818"/>
                  <wp:effectExtent l="0" t="0" r="5715" b="635"/>
                  <wp:wrapNone/>
                  <wp:docPr id="555" name="Ellipsz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556" cy="418818"/>
                          </a:xfrm>
                          <a:prstGeom prst="ellipse">
                            <a:avLst/>
                          </a:prstGeom>
                          <a:solidFill>
                            <a:srgbClr val="FF0000"/>
                          </a:solidFill>
                          <a:extLst/>
                        </wps:spPr>
                        <wps:txbx>
                          <w:txbxContent>
                            <w:p w:rsidR="000F629A" w:rsidRPr="000F629A" w:rsidRDefault="000F629A" w:rsidP="000F629A">
                              <w:pPr>
                                <w:jc w:val="center"/>
                                <w:rPr>
                                  <w:rStyle w:val="Oldalszm"/>
                                  <w:color w:val="FFFFFF" w:themeColor="background1"/>
                                  <w:sz w:val="32"/>
                                  <w:szCs w:val="32"/>
                                </w:rPr>
                              </w:pPr>
                              <w:r w:rsidRPr="00DD7159">
                                <w:fldChar w:fldCharType="begin"/>
                              </w:r>
                              <w:r w:rsidRPr="00DD7159">
                                <w:rPr>
                                  <w:sz w:val="40"/>
                                  <w:szCs w:val="32"/>
                                </w:rPr>
                                <w:instrText>PAGE    \* MERGEFORMAT</w:instrText>
                              </w:r>
                              <w:r w:rsidRPr="00DD7159">
                                <w:fldChar w:fldCharType="separate"/>
                              </w:r>
                              <w:r w:rsidR="001B2E95" w:rsidRPr="001B2E95">
                                <w:rPr>
                                  <w:rStyle w:val="Oldalszm"/>
                                  <w:b/>
                                  <w:bCs/>
                                  <w:noProof/>
                                  <w:color w:val="FFFFFF" w:themeColor="background1"/>
                                  <w:sz w:val="28"/>
                                  <w:lang w:val="hu-HU"/>
                                </w:rPr>
                                <w:t>4</w:t>
                              </w:r>
                              <w:r w:rsidRPr="00DD7159">
                                <w:rPr>
                                  <w:rStyle w:val="Oldalszm"/>
                                  <w:b/>
                                  <w:bCs/>
                                  <w:color w:val="FFFFFF" w:themeColor="background1"/>
                                  <w:sz w:val="40"/>
                                  <w:szCs w:val="32"/>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zis 20" o:spid="_x0000_s1026" style="position:absolute;margin-left:0;margin-top:222.5pt;width:35.55pt;height:33pt;z-index:251659264;visibility:visible;mso-wrap-style:square;mso-width-percent:0;mso-height-percent:0;mso-wrap-distance-left:9pt;mso-wrap-distance-top:0;mso-wrap-distance-right:9pt;mso-wrap-distance-bottom:0;mso-position-horizontal:center;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" o:allowincell="f" fillcolor="red" stroked="f">
                  <v:textbox inset="0,,0">
                    <w:txbxContent>
                      <w:p w:rsidR="000F629A" w:rsidRPr="000F629A" w:rsidRDefault="000F629A" w:rsidP="000F629A">
                        <w:pPr>
                          <w:jc w:val="center"/>
                          <w:rPr>
                            <w:rStyle w:val="Oldalszm"/>
                            <w:color w:val="FFFFFF" w:themeColor="background1"/>
                            <w:sz w:val="32"/>
                            <w:szCs w:val="32"/>
                          </w:rPr>
                        </w:pPr>
                        <w:r w:rsidRPr="00DD7159">
                          <w:fldChar w:fldCharType="begin"/>
                        </w:r>
                        <w:r w:rsidRPr="00DD7159">
                          <w:rPr>
                            <w:sz w:val="40"/>
                            <w:szCs w:val="32"/>
                          </w:rPr>
                          <w:instrText>PAGE    \* MERGEFORMAT</w:instrText>
                        </w:r>
                        <w:r w:rsidRPr="00DD7159">
                          <w:fldChar w:fldCharType="separate"/>
                        </w:r>
                        <w:r w:rsidR="001B2E95" w:rsidRPr="001B2E95">
                          <w:rPr>
                            <w:rStyle w:val="Oldalszm"/>
                            <w:b/>
                            <w:bCs/>
                            <w:noProof/>
                            <w:color w:val="FFFFFF" w:themeColor="background1"/>
                            <w:sz w:val="28"/>
                            <w:lang w:val="hu-HU"/>
                          </w:rPr>
                          <w:t>4</w:t>
                        </w:r>
                        <w:r w:rsidRPr="00DD7159">
                          <w:rPr>
                            <w:rStyle w:val="Oldalszm"/>
                            <w:b/>
                            <w:bCs/>
                            <w:color w:val="FFFFFF" w:themeColor="background1"/>
                            <w:sz w:val="40"/>
                            <w:szCs w:val="32"/>
                          </w:rPr>
                          <w:fldChar w:fldCharType="end"/>
                        </w:r>
                      </w:p>
                    </w:txbxContent>
                  </v:textbox>
                  <w10:wrap anchorx="margin" anchory="page"/>
                </v:oval>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isplayBackgroundShape/>
  <w:proofState w:grammar="clean"/>
  <w:defaultTabStop w:val="720"/>
  <w:hyphenationZone w:val="425"/>
  <w:drawingGridHorizontalSpacing w:val="120"/>
  <w:displayHorizontalDrawingGridEvery w:val="2"/>
  <w:displayVerticalDrawingGridEvery w:val="2"/>
  <w:characterSpacingControl w:val="doNotCompress"/>
  <w:hdrShapeDefaults>
    <o:shapedefaults v:ext="edit" spidmax="2049">
      <o:colormru v:ext="edit" colors="#e2ffc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89C"/>
    <w:rsid w:val="00032D00"/>
    <w:rsid w:val="000F629A"/>
    <w:rsid w:val="001B2E95"/>
    <w:rsid w:val="002B4539"/>
    <w:rsid w:val="0034063B"/>
    <w:rsid w:val="00395F4B"/>
    <w:rsid w:val="004C293F"/>
    <w:rsid w:val="00587240"/>
    <w:rsid w:val="005D1AB2"/>
    <w:rsid w:val="00740E29"/>
    <w:rsid w:val="00837606"/>
    <w:rsid w:val="00885C94"/>
    <w:rsid w:val="00981258"/>
    <w:rsid w:val="009E7780"/>
    <w:rsid w:val="00B0689C"/>
    <w:rsid w:val="00B967FC"/>
    <w:rsid w:val="00C324DB"/>
    <w:rsid w:val="00DA30BD"/>
    <w:rsid w:val="00DC3268"/>
    <w:rsid w:val="00DD7159"/>
    <w:rsid w:val="00E54383"/>
    <w:rsid w:val="00ED5C56"/>
    <w:rsid w:val="00F23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2ffc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641"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0689C"/>
    <w:pPr>
      <w:spacing w:after="160" w:line="259" w:lineRule="auto"/>
      <w:ind w:left="0" w:firstLine="0"/>
    </w:pPr>
    <w:rPr>
      <w:kern w:val="2"/>
      <w:lang w:val="pl-PL"/>
      <w14:ligatures w14:val="standardContextu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rynqvb">
    <w:name w:val="rynqvb"/>
    <w:basedOn w:val="Bekezdsalapbettpusa"/>
    <w:rsid w:val="00B0689C"/>
  </w:style>
  <w:style w:type="paragraph" w:styleId="Lbjegyzetszveg">
    <w:name w:val="footnote text"/>
    <w:basedOn w:val="Norml"/>
    <w:link w:val="LbjegyzetszvegChar"/>
    <w:uiPriority w:val="99"/>
    <w:rsid w:val="00B0689C"/>
    <w:pPr>
      <w:spacing w:after="0" w:line="360" w:lineRule="auto"/>
      <w:jc w:val="both"/>
    </w:pPr>
    <w:rPr>
      <w:rFonts w:ascii="Times New Roman" w:eastAsia="Times New Roman" w:hAnsi="Times New Roman" w:cs="Times New Roman"/>
      <w:kern w:val="0"/>
      <w:sz w:val="20"/>
      <w:szCs w:val="20"/>
      <w:lang w:val="hu-HU" w:eastAsia="hu-HU"/>
      <w14:ligatures w14:val="none"/>
    </w:rPr>
  </w:style>
  <w:style w:type="character" w:customStyle="1" w:styleId="LbjegyzetszvegChar">
    <w:name w:val="Lábjegyzetszöveg Char"/>
    <w:basedOn w:val="Bekezdsalapbettpusa"/>
    <w:link w:val="Lbjegyzetszveg"/>
    <w:uiPriority w:val="99"/>
    <w:rsid w:val="00B0689C"/>
    <w:rPr>
      <w:rFonts w:ascii="Times New Roman" w:eastAsia="Times New Roman" w:hAnsi="Times New Roman" w:cs="Times New Roman"/>
      <w:sz w:val="20"/>
      <w:szCs w:val="20"/>
      <w:lang w:val="hu-HU" w:eastAsia="hu-HU"/>
    </w:rPr>
  </w:style>
  <w:style w:type="character" w:styleId="Lbjegyzet-hivatkozs">
    <w:name w:val="footnote reference"/>
    <w:uiPriority w:val="99"/>
    <w:semiHidden/>
    <w:rsid w:val="00B0689C"/>
    <w:rPr>
      <w:vertAlign w:val="superscript"/>
    </w:rPr>
  </w:style>
  <w:style w:type="paragraph" w:customStyle="1" w:styleId="Zld">
    <w:name w:val="Zöld"/>
    <w:basedOn w:val="Norml"/>
    <w:rsid w:val="00B0689C"/>
    <w:pPr>
      <w:spacing w:after="0" w:line="360" w:lineRule="auto"/>
      <w:ind w:firstLine="709"/>
      <w:jc w:val="both"/>
    </w:pPr>
    <w:rPr>
      <w:rFonts w:ascii="Times New Roman" w:eastAsia="Times New Roman" w:hAnsi="Times New Roman" w:cs="Times New Roman"/>
      <w:kern w:val="0"/>
      <w:sz w:val="24"/>
      <w:szCs w:val="24"/>
      <w:lang w:val="hu-HU" w:eastAsia="hu-HU"/>
      <w14:ligatures w14:val="none"/>
    </w:rPr>
  </w:style>
  <w:style w:type="paragraph" w:styleId="Szvegtrzs">
    <w:name w:val="Body Text"/>
    <w:basedOn w:val="Norml"/>
    <w:link w:val="SzvegtrzsChar"/>
    <w:rsid w:val="00B0689C"/>
    <w:pPr>
      <w:widowControl w:val="0"/>
      <w:suppressAutoHyphens/>
      <w:spacing w:after="283" w:line="240" w:lineRule="auto"/>
    </w:pPr>
    <w:rPr>
      <w:rFonts w:ascii="Liberation Serif" w:eastAsia="Arial Unicode MS" w:hAnsi="Liberation Serif" w:cs="Lucida Sans"/>
      <w:kern w:val="0"/>
      <w:sz w:val="24"/>
      <w:szCs w:val="24"/>
      <w:lang w:val="en-US" w:eastAsia="zh-CN" w:bidi="hi-IN"/>
      <w14:ligatures w14:val="none"/>
    </w:rPr>
  </w:style>
  <w:style w:type="character" w:customStyle="1" w:styleId="SzvegtrzsChar">
    <w:name w:val="Szövegtörzs Char"/>
    <w:basedOn w:val="Bekezdsalapbettpusa"/>
    <w:link w:val="Szvegtrzs"/>
    <w:rsid w:val="00B0689C"/>
    <w:rPr>
      <w:rFonts w:ascii="Liberation Serif" w:eastAsia="Arial Unicode MS" w:hAnsi="Liberation Serif" w:cs="Lucida Sans"/>
      <w:sz w:val="24"/>
      <w:szCs w:val="24"/>
      <w:lang w:eastAsia="zh-CN" w:bidi="hi-IN"/>
    </w:rPr>
  </w:style>
  <w:style w:type="character" w:styleId="Hiperhivatkozs">
    <w:name w:val="Hyperlink"/>
    <w:basedOn w:val="Bekezdsalapbettpusa"/>
    <w:uiPriority w:val="99"/>
    <w:unhideWhenUsed/>
    <w:rsid w:val="0034063B"/>
    <w:rPr>
      <w:color w:val="0000FF" w:themeColor="hyperlink"/>
      <w:u w:val="single"/>
    </w:rPr>
  </w:style>
  <w:style w:type="paragraph" w:styleId="lfej">
    <w:name w:val="header"/>
    <w:basedOn w:val="Norml"/>
    <w:link w:val="lfejChar"/>
    <w:uiPriority w:val="99"/>
    <w:unhideWhenUsed/>
    <w:rsid w:val="009E7780"/>
    <w:pPr>
      <w:tabs>
        <w:tab w:val="center" w:pos="4703"/>
        <w:tab w:val="right" w:pos="9406"/>
      </w:tabs>
      <w:spacing w:after="0" w:line="240" w:lineRule="auto"/>
    </w:pPr>
  </w:style>
  <w:style w:type="character" w:customStyle="1" w:styleId="lfejChar">
    <w:name w:val="Élőfej Char"/>
    <w:basedOn w:val="Bekezdsalapbettpusa"/>
    <w:link w:val="lfej"/>
    <w:uiPriority w:val="99"/>
    <w:rsid w:val="009E7780"/>
    <w:rPr>
      <w:kern w:val="2"/>
      <w:lang w:val="pl-PL"/>
      <w14:ligatures w14:val="standardContextual"/>
    </w:rPr>
  </w:style>
  <w:style w:type="paragraph" w:styleId="llb">
    <w:name w:val="footer"/>
    <w:basedOn w:val="Norml"/>
    <w:link w:val="llbChar"/>
    <w:uiPriority w:val="99"/>
    <w:unhideWhenUsed/>
    <w:rsid w:val="009E7780"/>
    <w:pPr>
      <w:tabs>
        <w:tab w:val="center" w:pos="4703"/>
        <w:tab w:val="right" w:pos="9406"/>
      </w:tabs>
      <w:spacing w:after="0" w:line="240" w:lineRule="auto"/>
    </w:pPr>
  </w:style>
  <w:style w:type="character" w:customStyle="1" w:styleId="llbChar">
    <w:name w:val="Élőláb Char"/>
    <w:basedOn w:val="Bekezdsalapbettpusa"/>
    <w:link w:val="llb"/>
    <w:uiPriority w:val="99"/>
    <w:rsid w:val="009E7780"/>
    <w:rPr>
      <w:kern w:val="2"/>
      <w:lang w:val="pl-PL"/>
      <w14:ligatures w14:val="standardContextual"/>
    </w:rPr>
  </w:style>
  <w:style w:type="paragraph" w:styleId="Buborkszveg">
    <w:name w:val="Balloon Text"/>
    <w:basedOn w:val="Norml"/>
    <w:link w:val="BuborkszvegChar"/>
    <w:uiPriority w:val="99"/>
    <w:semiHidden/>
    <w:unhideWhenUsed/>
    <w:rsid w:val="000F629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F629A"/>
    <w:rPr>
      <w:rFonts w:ascii="Tahoma" w:hAnsi="Tahoma" w:cs="Tahoma"/>
      <w:kern w:val="2"/>
      <w:sz w:val="16"/>
      <w:szCs w:val="16"/>
      <w:lang w:val="pl-PL"/>
      <w14:ligatures w14:val="standardContextual"/>
    </w:rPr>
  </w:style>
  <w:style w:type="character" w:styleId="Oldalszm">
    <w:name w:val="page number"/>
    <w:basedOn w:val="Bekezdsalapbettpusa"/>
    <w:uiPriority w:val="99"/>
    <w:unhideWhenUsed/>
    <w:rsid w:val="000F629A"/>
  </w:style>
  <w:style w:type="character" w:customStyle="1" w:styleId="markedcontent">
    <w:name w:val="markedcontent"/>
    <w:basedOn w:val="Bekezdsalapbettpusa"/>
    <w:rsid w:val="00DD71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641"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0689C"/>
    <w:pPr>
      <w:spacing w:after="160" w:line="259" w:lineRule="auto"/>
      <w:ind w:left="0" w:firstLine="0"/>
    </w:pPr>
    <w:rPr>
      <w:kern w:val="2"/>
      <w:lang w:val="pl-PL"/>
      <w14:ligatures w14:val="standardContextu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rynqvb">
    <w:name w:val="rynqvb"/>
    <w:basedOn w:val="Bekezdsalapbettpusa"/>
    <w:rsid w:val="00B0689C"/>
  </w:style>
  <w:style w:type="paragraph" w:styleId="Lbjegyzetszveg">
    <w:name w:val="footnote text"/>
    <w:basedOn w:val="Norml"/>
    <w:link w:val="LbjegyzetszvegChar"/>
    <w:uiPriority w:val="99"/>
    <w:rsid w:val="00B0689C"/>
    <w:pPr>
      <w:spacing w:after="0" w:line="360" w:lineRule="auto"/>
      <w:jc w:val="both"/>
    </w:pPr>
    <w:rPr>
      <w:rFonts w:ascii="Times New Roman" w:eastAsia="Times New Roman" w:hAnsi="Times New Roman" w:cs="Times New Roman"/>
      <w:kern w:val="0"/>
      <w:sz w:val="20"/>
      <w:szCs w:val="20"/>
      <w:lang w:val="hu-HU" w:eastAsia="hu-HU"/>
      <w14:ligatures w14:val="none"/>
    </w:rPr>
  </w:style>
  <w:style w:type="character" w:customStyle="1" w:styleId="LbjegyzetszvegChar">
    <w:name w:val="Lábjegyzetszöveg Char"/>
    <w:basedOn w:val="Bekezdsalapbettpusa"/>
    <w:link w:val="Lbjegyzetszveg"/>
    <w:uiPriority w:val="99"/>
    <w:rsid w:val="00B0689C"/>
    <w:rPr>
      <w:rFonts w:ascii="Times New Roman" w:eastAsia="Times New Roman" w:hAnsi="Times New Roman" w:cs="Times New Roman"/>
      <w:sz w:val="20"/>
      <w:szCs w:val="20"/>
      <w:lang w:val="hu-HU" w:eastAsia="hu-HU"/>
    </w:rPr>
  </w:style>
  <w:style w:type="character" w:styleId="Lbjegyzet-hivatkozs">
    <w:name w:val="footnote reference"/>
    <w:uiPriority w:val="99"/>
    <w:semiHidden/>
    <w:rsid w:val="00B0689C"/>
    <w:rPr>
      <w:vertAlign w:val="superscript"/>
    </w:rPr>
  </w:style>
  <w:style w:type="paragraph" w:customStyle="1" w:styleId="Zld">
    <w:name w:val="Zöld"/>
    <w:basedOn w:val="Norml"/>
    <w:rsid w:val="00B0689C"/>
    <w:pPr>
      <w:spacing w:after="0" w:line="360" w:lineRule="auto"/>
      <w:ind w:firstLine="709"/>
      <w:jc w:val="both"/>
    </w:pPr>
    <w:rPr>
      <w:rFonts w:ascii="Times New Roman" w:eastAsia="Times New Roman" w:hAnsi="Times New Roman" w:cs="Times New Roman"/>
      <w:kern w:val="0"/>
      <w:sz w:val="24"/>
      <w:szCs w:val="24"/>
      <w:lang w:val="hu-HU" w:eastAsia="hu-HU"/>
      <w14:ligatures w14:val="none"/>
    </w:rPr>
  </w:style>
  <w:style w:type="paragraph" w:styleId="Szvegtrzs">
    <w:name w:val="Body Text"/>
    <w:basedOn w:val="Norml"/>
    <w:link w:val="SzvegtrzsChar"/>
    <w:rsid w:val="00B0689C"/>
    <w:pPr>
      <w:widowControl w:val="0"/>
      <w:suppressAutoHyphens/>
      <w:spacing w:after="283" w:line="240" w:lineRule="auto"/>
    </w:pPr>
    <w:rPr>
      <w:rFonts w:ascii="Liberation Serif" w:eastAsia="Arial Unicode MS" w:hAnsi="Liberation Serif" w:cs="Lucida Sans"/>
      <w:kern w:val="0"/>
      <w:sz w:val="24"/>
      <w:szCs w:val="24"/>
      <w:lang w:val="en-US" w:eastAsia="zh-CN" w:bidi="hi-IN"/>
      <w14:ligatures w14:val="none"/>
    </w:rPr>
  </w:style>
  <w:style w:type="character" w:customStyle="1" w:styleId="SzvegtrzsChar">
    <w:name w:val="Szövegtörzs Char"/>
    <w:basedOn w:val="Bekezdsalapbettpusa"/>
    <w:link w:val="Szvegtrzs"/>
    <w:rsid w:val="00B0689C"/>
    <w:rPr>
      <w:rFonts w:ascii="Liberation Serif" w:eastAsia="Arial Unicode MS" w:hAnsi="Liberation Serif" w:cs="Lucida Sans"/>
      <w:sz w:val="24"/>
      <w:szCs w:val="24"/>
      <w:lang w:eastAsia="zh-CN" w:bidi="hi-IN"/>
    </w:rPr>
  </w:style>
  <w:style w:type="character" w:styleId="Hiperhivatkozs">
    <w:name w:val="Hyperlink"/>
    <w:basedOn w:val="Bekezdsalapbettpusa"/>
    <w:uiPriority w:val="99"/>
    <w:unhideWhenUsed/>
    <w:rsid w:val="0034063B"/>
    <w:rPr>
      <w:color w:val="0000FF" w:themeColor="hyperlink"/>
      <w:u w:val="single"/>
    </w:rPr>
  </w:style>
  <w:style w:type="paragraph" w:styleId="lfej">
    <w:name w:val="header"/>
    <w:basedOn w:val="Norml"/>
    <w:link w:val="lfejChar"/>
    <w:uiPriority w:val="99"/>
    <w:unhideWhenUsed/>
    <w:rsid w:val="009E7780"/>
    <w:pPr>
      <w:tabs>
        <w:tab w:val="center" w:pos="4703"/>
        <w:tab w:val="right" w:pos="9406"/>
      </w:tabs>
      <w:spacing w:after="0" w:line="240" w:lineRule="auto"/>
    </w:pPr>
  </w:style>
  <w:style w:type="character" w:customStyle="1" w:styleId="lfejChar">
    <w:name w:val="Élőfej Char"/>
    <w:basedOn w:val="Bekezdsalapbettpusa"/>
    <w:link w:val="lfej"/>
    <w:uiPriority w:val="99"/>
    <w:rsid w:val="009E7780"/>
    <w:rPr>
      <w:kern w:val="2"/>
      <w:lang w:val="pl-PL"/>
      <w14:ligatures w14:val="standardContextual"/>
    </w:rPr>
  </w:style>
  <w:style w:type="paragraph" w:styleId="llb">
    <w:name w:val="footer"/>
    <w:basedOn w:val="Norml"/>
    <w:link w:val="llbChar"/>
    <w:uiPriority w:val="99"/>
    <w:unhideWhenUsed/>
    <w:rsid w:val="009E7780"/>
    <w:pPr>
      <w:tabs>
        <w:tab w:val="center" w:pos="4703"/>
        <w:tab w:val="right" w:pos="9406"/>
      </w:tabs>
      <w:spacing w:after="0" w:line="240" w:lineRule="auto"/>
    </w:pPr>
  </w:style>
  <w:style w:type="character" w:customStyle="1" w:styleId="llbChar">
    <w:name w:val="Élőláb Char"/>
    <w:basedOn w:val="Bekezdsalapbettpusa"/>
    <w:link w:val="llb"/>
    <w:uiPriority w:val="99"/>
    <w:rsid w:val="009E7780"/>
    <w:rPr>
      <w:kern w:val="2"/>
      <w:lang w:val="pl-PL"/>
      <w14:ligatures w14:val="standardContextual"/>
    </w:rPr>
  </w:style>
  <w:style w:type="paragraph" w:styleId="Buborkszveg">
    <w:name w:val="Balloon Text"/>
    <w:basedOn w:val="Norml"/>
    <w:link w:val="BuborkszvegChar"/>
    <w:uiPriority w:val="99"/>
    <w:semiHidden/>
    <w:unhideWhenUsed/>
    <w:rsid w:val="000F629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F629A"/>
    <w:rPr>
      <w:rFonts w:ascii="Tahoma" w:hAnsi="Tahoma" w:cs="Tahoma"/>
      <w:kern w:val="2"/>
      <w:sz w:val="16"/>
      <w:szCs w:val="16"/>
      <w:lang w:val="pl-PL"/>
      <w14:ligatures w14:val="standardContextual"/>
    </w:rPr>
  </w:style>
  <w:style w:type="character" w:styleId="Oldalszm">
    <w:name w:val="page number"/>
    <w:basedOn w:val="Bekezdsalapbettpusa"/>
    <w:uiPriority w:val="99"/>
    <w:unhideWhenUsed/>
    <w:rsid w:val="000F629A"/>
  </w:style>
  <w:style w:type="character" w:customStyle="1" w:styleId="markedcontent">
    <w:name w:val="markedcontent"/>
    <w:basedOn w:val="Bekezdsalapbettpusa"/>
    <w:rsid w:val="00DD7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996546">
      <w:bodyDiv w:val="1"/>
      <w:marLeft w:val="0"/>
      <w:marRight w:val="0"/>
      <w:marTop w:val="0"/>
      <w:marBottom w:val="0"/>
      <w:divBdr>
        <w:top w:val="none" w:sz="0" w:space="0" w:color="auto"/>
        <w:left w:val="none" w:sz="0" w:space="0" w:color="auto"/>
        <w:bottom w:val="none" w:sz="0" w:space="0" w:color="auto"/>
        <w:right w:val="none" w:sz="0" w:space="0" w:color="auto"/>
      </w:divBdr>
    </w:div>
    <w:div w:id="609970824">
      <w:bodyDiv w:val="1"/>
      <w:marLeft w:val="0"/>
      <w:marRight w:val="0"/>
      <w:marTop w:val="0"/>
      <w:marBottom w:val="0"/>
      <w:divBdr>
        <w:top w:val="none" w:sz="0" w:space="0" w:color="auto"/>
        <w:left w:val="none" w:sz="0" w:space="0" w:color="auto"/>
        <w:bottom w:val="none" w:sz="0" w:space="0" w:color="auto"/>
        <w:right w:val="none" w:sz="0" w:space="0" w:color="auto"/>
      </w:divBdr>
    </w:div>
    <w:div w:id="1442073765">
      <w:bodyDiv w:val="1"/>
      <w:marLeft w:val="0"/>
      <w:marRight w:val="0"/>
      <w:marTop w:val="0"/>
      <w:marBottom w:val="0"/>
      <w:divBdr>
        <w:top w:val="none" w:sz="0" w:space="0" w:color="auto"/>
        <w:left w:val="none" w:sz="0" w:space="0" w:color="auto"/>
        <w:bottom w:val="none" w:sz="0" w:space="0" w:color="auto"/>
        <w:right w:val="none" w:sz="0" w:space="0" w:color="auto"/>
      </w:divBdr>
    </w:div>
    <w:div w:id="194440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edrive.live.com/?authkey=%21AOpKFTDXX69ea%5FY&amp;id=4C788677965F928A%2172257&amp;cid=4C788677965F928A"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link.springer.com/book/10.1007/978-3-319-97316-6" TargetMode="External"/><Relationship Id="rId3" Type="http://schemas.openxmlformats.org/officeDocument/2006/relationships/hyperlink" Target="https://www.cambridge.org/core/books/laws-of-fear/16124E83F371BEAA5082AB07EA892836" TargetMode="External"/><Relationship Id="rId7" Type="http://schemas.openxmlformats.org/officeDocument/2006/relationships/hyperlink" Target="https://www.hup.harvard.edu/catalog.php?isbn=9780674970847" TargetMode="External"/><Relationship Id="rId2" Type="http://schemas.openxmlformats.org/officeDocument/2006/relationships/hyperlink" Target="https://eur-lex.europa.eu/legal-content/HU/TXT/HTML/?uri=CELEX:31995L0046" TargetMode="External"/><Relationship Id="rId1" Type="http://schemas.openxmlformats.org/officeDocument/2006/relationships/hyperlink" Target="https://net.jogtar.hu/jogszabaly?docid=99800006.tv" TargetMode="External"/><Relationship Id="rId6" Type="http://schemas.openxmlformats.org/officeDocument/2006/relationships/hyperlink" Target="https://www.tweedekamer.nl/sites/default/files/atoms/files/20201217_eindverslag_parlementaire_ondervragingscommissie_kinderopvangtoeslag.pdf" TargetMode="External"/><Relationship Id="rId5" Type="http://schemas.openxmlformats.org/officeDocument/2006/relationships/hyperlink" Target="https://fra.europa.eu/sites/default/files/fra_uploads/fra-2022-bias-in-algorithms_en.pdf" TargetMode="External"/><Relationship Id="rId4" Type="http://schemas.openxmlformats.org/officeDocument/2006/relationships/hyperlink" Target="https://www.propublica.org/article/machine-bias-risk-assessments-in-criminal-sentencing"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26B61-B2CA-44B3-9B68-DA0AF6F4E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3157</Words>
  <Characters>21788</Characters>
  <Application>Microsoft Office Word</Application>
  <DocSecurity>0</DocSecurity>
  <Lines>181</Lines>
  <Paragraphs>49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Takacs Peter</dc:creator>
  <cp:lastModifiedBy>Takacs Peter</cp:lastModifiedBy>
  <cp:revision>5</cp:revision>
  <cp:lastPrinted>2023-01-26T22:37:00Z</cp:lastPrinted>
  <dcterms:created xsi:type="dcterms:W3CDTF">2023-01-26T22:31:00Z</dcterms:created>
  <dcterms:modified xsi:type="dcterms:W3CDTF">2023-01-26T22:37:00Z</dcterms:modified>
</cp:coreProperties>
</file>